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1C9111A"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0C7601" w:rsidRPr="000C7601">
        <w:rPr>
          <w:b w:val="0"/>
          <w:i/>
          <w:sz w:val="24"/>
          <w:szCs w:val="24"/>
          <w:highlight w:val="yellow"/>
        </w:rPr>
        <w:t>[•]</w:t>
      </w:r>
      <w:r w:rsidR="000C7601">
        <w:rPr>
          <w:b w:val="0"/>
          <w:i/>
          <w:sz w:val="24"/>
          <w:szCs w:val="24"/>
        </w:rPr>
        <w:t xml:space="preserve"> 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 xml:space="preserve">Adres strony internetowej </w:t>
            </w:r>
            <w:proofErr w:type="spellStart"/>
            <w:r w:rsidRPr="00AA72B4">
              <w:rPr>
                <w:sz w:val="20"/>
              </w:rPr>
              <w:t>dewe</w:t>
            </w:r>
            <w:proofErr w:type="spellEnd"/>
            <w:r w:rsidRPr="00AA72B4">
              <w:rPr>
                <w:sz w:val="20"/>
              </w:rPr>
              <w:t xml:space="preserve">- </w:t>
            </w:r>
            <w:proofErr w:type="spellStart"/>
            <w:r w:rsidRPr="00AA72B4">
              <w:rPr>
                <w:sz w:val="20"/>
              </w:rPr>
              <w:t>lopera</w:t>
            </w:r>
            <w:proofErr w:type="spellEnd"/>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77777777" w:rsidR="00F042E3" w:rsidRPr="00AA72B4" w:rsidRDefault="00F042E3" w:rsidP="00F042E3">
            <w:pPr>
              <w:spacing w:after="120"/>
              <w:ind w:right="34"/>
              <w:jc w:val="both"/>
              <w:rPr>
                <w:sz w:val="20"/>
                <w:szCs w:val="20"/>
              </w:rPr>
            </w:pPr>
            <w:r w:rsidRPr="00AA72B4">
              <w:rPr>
                <w:sz w:val="20"/>
                <w:szCs w:val="20"/>
              </w:rPr>
              <w:t>Deweloper jest przedsiębiorcą, którego podstawowym celem gospodarczym jest działalność deweloperska, czyli realizacja projektów budowlanych związanych ze wznoszeniem budynków (PKD 41.10.Z).</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w:t>
            </w:r>
            <w:proofErr w:type="spellStart"/>
            <w:r w:rsidR="006840AF" w:rsidRPr="00AA72B4">
              <w:rPr>
                <w:sz w:val="20"/>
                <w:szCs w:val="20"/>
              </w:rPr>
              <w:t>Kozodawska</w:t>
            </w:r>
            <w:proofErr w:type="spellEnd"/>
            <w:r w:rsidR="006840AF" w:rsidRPr="00AA72B4">
              <w:rPr>
                <w:sz w:val="20"/>
                <w:szCs w:val="20"/>
              </w:rPr>
              <w:t xml:space="preserve">,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w:t>
            </w:r>
            <w:proofErr w:type="spellStart"/>
            <w:r w:rsidR="0095171A" w:rsidRPr="00AA72B4">
              <w:rPr>
                <w:rFonts w:ascii="Times New Roman" w:eastAsiaTheme="minorHAnsi" w:hAnsi="Times New Roman" w:cs="Times New Roman"/>
                <w:bCs/>
                <w:sz w:val="20"/>
                <w:szCs w:val="20"/>
                <w:lang w:eastAsia="en-US"/>
              </w:rPr>
              <w:t>Kozodawska</w:t>
            </w:r>
            <w:proofErr w:type="spellEnd"/>
            <w:r w:rsidR="0095171A" w:rsidRPr="00AA72B4">
              <w:rPr>
                <w:rFonts w:ascii="Times New Roman" w:eastAsiaTheme="minorHAnsi" w:hAnsi="Times New Roman" w:cs="Times New Roman"/>
                <w:bCs/>
                <w:sz w:val="20"/>
                <w:szCs w:val="20"/>
                <w:lang w:eastAsia="en-US"/>
              </w:rPr>
              <w:t>,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 xml:space="preserve">działka </w:t>
            </w:r>
            <w:proofErr w:type="spellStart"/>
            <w:r>
              <w:rPr>
                <w:sz w:val="20"/>
                <w:szCs w:val="20"/>
              </w:rPr>
              <w:t>ewid</w:t>
            </w:r>
            <w:proofErr w:type="spellEnd"/>
            <w:r>
              <w:rPr>
                <w:sz w:val="20"/>
                <w:szCs w:val="20"/>
              </w:rPr>
              <w:t>.</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bookmarkStart w:id="0" w:name="_GoBack"/>
            <w:bookmarkEnd w:id="0"/>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6756E2E6"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w:t>
            </w:r>
            <w:proofErr w:type="spellStart"/>
            <w:r w:rsidR="00F042E3">
              <w:rPr>
                <w:sz w:val="20"/>
                <w:szCs w:val="20"/>
              </w:rPr>
              <w:t>ewid</w:t>
            </w:r>
            <w:proofErr w:type="spellEnd"/>
            <w:r w:rsidR="00F042E3">
              <w:rPr>
                <w:sz w:val="20"/>
                <w:szCs w:val="20"/>
              </w:rPr>
              <w:t>.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 xml:space="preserve">złożony został wniosek wieczystoksięgowy o odłączenie działki </w:t>
            </w:r>
            <w:proofErr w:type="spellStart"/>
            <w:r w:rsidR="00F042E3" w:rsidRPr="000D7E88">
              <w:rPr>
                <w:sz w:val="20"/>
                <w:szCs w:val="20"/>
              </w:rPr>
              <w:t>ewid</w:t>
            </w:r>
            <w:proofErr w:type="spellEnd"/>
            <w:r w:rsidR="00F042E3" w:rsidRPr="000D7E88">
              <w:rPr>
                <w:sz w:val="20"/>
                <w:szCs w:val="20"/>
              </w:rPr>
              <w:t>.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 xml:space="preserve">Uchwałą Nr </w:t>
            </w:r>
            <w:proofErr w:type="spellStart"/>
            <w:r w:rsidRPr="00AA72B4">
              <w:rPr>
                <w:sz w:val="20"/>
                <w:szCs w:val="20"/>
              </w:rPr>
              <w:t>Nr</w:t>
            </w:r>
            <w:proofErr w:type="spellEnd"/>
            <w:r w:rsidRPr="00AA72B4">
              <w:rPr>
                <w:sz w:val="20"/>
                <w:szCs w:val="20"/>
              </w:rPr>
              <w:t xml:space="preserve">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w:t>
            </w:r>
            <w:proofErr w:type="spellStart"/>
            <w:r w:rsidRPr="00AA72B4">
              <w:rPr>
                <w:sz w:val="20"/>
                <w:szCs w:val="20"/>
              </w:rPr>
              <w:t>opubl</w:t>
            </w:r>
            <w:proofErr w:type="spellEnd"/>
            <w:r w:rsidRPr="00AA72B4">
              <w:rPr>
                <w:sz w:val="20"/>
                <w:szCs w:val="20"/>
              </w:rPr>
              <w:t xml:space="preserve">. Dz. Urz. Woj. </w:t>
            </w:r>
            <w:proofErr w:type="spellStart"/>
            <w:r w:rsidRPr="00AA72B4">
              <w:rPr>
                <w:sz w:val="20"/>
                <w:szCs w:val="20"/>
              </w:rPr>
              <w:t>Maz</w:t>
            </w:r>
            <w:proofErr w:type="spellEnd"/>
            <w:r w:rsidRPr="00AA72B4">
              <w:rPr>
                <w:sz w:val="20"/>
                <w:szCs w:val="20"/>
              </w:rPr>
              <w:t xml:space="preserve">.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t>
            </w:r>
            <w:proofErr w:type="spellStart"/>
            <w:r w:rsidRPr="00AA72B4">
              <w:rPr>
                <w:sz w:val="20"/>
                <w:szCs w:val="20"/>
              </w:rPr>
              <w:t>ws</w:t>
            </w:r>
            <w:proofErr w:type="spellEnd"/>
            <w:r w:rsidRPr="00AA72B4">
              <w:rPr>
                <w:sz w:val="20"/>
                <w:szCs w:val="20"/>
              </w:rPr>
              <w:t xml:space="preserve">.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 xml:space="preserve">Działki </w:t>
            </w:r>
            <w:proofErr w:type="spellStart"/>
            <w:r w:rsidRPr="00AA72B4">
              <w:rPr>
                <w:sz w:val="20"/>
                <w:szCs w:val="20"/>
              </w:rPr>
              <w:t>ewid</w:t>
            </w:r>
            <w:proofErr w:type="spellEnd"/>
            <w:r w:rsidRPr="00AA72B4">
              <w:rPr>
                <w:sz w:val="20"/>
                <w:szCs w:val="20"/>
              </w:rPr>
              <w:t>.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ustanowienia form ochrony przyrody lub ich otulin (parku narodowego, rezerwatu przyrody, parku krajobrazowego, obszaru chronionego krajobrazu, obszaru Natura 2000, pomnika przyrody, stanowiska dokumentacyjnego, użytku ekologicznego, </w:t>
      </w:r>
      <w:proofErr w:type="spellStart"/>
      <w:r w:rsidRPr="00AA72B4">
        <w:rPr>
          <w:sz w:val="18"/>
        </w:rPr>
        <w:t>zespo</w:t>
      </w:r>
      <w:proofErr w:type="spellEnd"/>
      <w:r w:rsidRPr="00AA72B4">
        <w:rPr>
          <w:sz w:val="18"/>
        </w:rPr>
        <w:t xml:space="preserve">- </w:t>
      </w:r>
      <w:proofErr w:type="spellStart"/>
      <w:r w:rsidRPr="00AA72B4">
        <w:rPr>
          <w:sz w:val="18"/>
        </w:rPr>
        <w:t>łu</w:t>
      </w:r>
      <w:proofErr w:type="spellEnd"/>
      <w:r w:rsidRPr="00AA72B4">
        <w:rPr>
          <w:sz w:val="18"/>
        </w:rPr>
        <w:t xml:space="preserve">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ustalenia zasad i warunków sytuowania obiektów małej architektury, tablic reklamowych i urządzeń reklamowych oraz </w:t>
      </w:r>
      <w:proofErr w:type="spellStart"/>
      <w:r w:rsidRPr="00AA72B4">
        <w:rPr>
          <w:sz w:val="18"/>
        </w:rPr>
        <w:t>ogro</w:t>
      </w:r>
      <w:proofErr w:type="spellEnd"/>
      <w:r w:rsidRPr="00AA72B4">
        <w:rPr>
          <w:sz w:val="18"/>
        </w:rPr>
        <w:t xml:space="preserve">- </w:t>
      </w:r>
      <w:proofErr w:type="spellStart"/>
      <w:r w:rsidRPr="00AA72B4">
        <w:rPr>
          <w:sz w:val="18"/>
        </w:rPr>
        <w:t>dzeń</w:t>
      </w:r>
      <w:proofErr w:type="spellEnd"/>
      <w:r w:rsidRPr="00AA72B4">
        <w:rPr>
          <w:sz w:val="18"/>
        </w:rPr>
        <w:t>,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 xml:space="preserve">W – tereny wód (rzeka </w:t>
            </w:r>
            <w:proofErr w:type="spellStart"/>
            <w:r w:rsidRPr="00AA72B4">
              <w:rPr>
                <w:sz w:val="20"/>
                <w:szCs w:val="20"/>
              </w:rPr>
              <w:t>Raszynka</w:t>
            </w:r>
            <w:proofErr w:type="spellEnd"/>
            <w:r w:rsidRPr="00AA72B4">
              <w:rPr>
                <w:sz w:val="20"/>
                <w:szCs w:val="20"/>
              </w:rPr>
              <w:t>)</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 xml:space="preserve">MN – min. 2 </w:t>
            </w:r>
            <w:proofErr w:type="spellStart"/>
            <w:r w:rsidRPr="00AA72B4">
              <w:rPr>
                <w:sz w:val="20"/>
                <w:szCs w:val="20"/>
              </w:rPr>
              <w:t>m.p</w:t>
            </w:r>
            <w:proofErr w:type="spellEnd"/>
            <w:r w:rsidRPr="00AA72B4">
              <w:rPr>
                <w:sz w:val="20"/>
                <w:szCs w:val="20"/>
              </w:rPr>
              <w:t>.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 xml:space="preserve">MN/U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 gastronomia – min. 40 </w:t>
            </w:r>
            <w:proofErr w:type="spellStart"/>
            <w:r w:rsidRPr="00AA72B4">
              <w:rPr>
                <w:sz w:val="20"/>
                <w:szCs w:val="20"/>
              </w:rPr>
              <w:t>m.p</w:t>
            </w:r>
            <w:proofErr w:type="spellEnd"/>
            <w:r w:rsidRPr="00AA72B4">
              <w:rPr>
                <w:sz w:val="20"/>
                <w:szCs w:val="20"/>
              </w:rPr>
              <w:t>.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 xml:space="preserve">MN/U/ZU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gastronomia – min. 40 </w:t>
            </w:r>
            <w:proofErr w:type="spellStart"/>
            <w:r w:rsidRPr="00AA72B4">
              <w:rPr>
                <w:sz w:val="20"/>
                <w:szCs w:val="20"/>
              </w:rPr>
              <w:t>m.p</w:t>
            </w:r>
            <w:proofErr w:type="spellEnd"/>
            <w:r w:rsidRPr="00AA72B4">
              <w:rPr>
                <w:sz w:val="20"/>
                <w:szCs w:val="20"/>
              </w:rPr>
              <w:t>.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3601CB">
        <w:trPr>
          <w:trHeight w:val="1550"/>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lastRenderedPageBreak/>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t>przedsięwzięciem deweloperskim lub zadaniem inwestycyjnym w przypadku braku miejscowego planu zagospodarowania przestrzennego</w:t>
            </w:r>
          </w:p>
        </w:tc>
        <w:tc>
          <w:tcPr>
            <w:tcW w:w="3418" w:type="dxa"/>
            <w:shd w:val="clear" w:color="auto" w:fill="auto"/>
          </w:tcPr>
          <w:p w14:paraId="23893FE5" w14:textId="77777777" w:rsidR="00B733A1" w:rsidRPr="00AA72B4" w:rsidRDefault="00B733A1" w:rsidP="003601CB">
            <w:pPr>
              <w:pStyle w:val="TableParagraph"/>
            </w:pPr>
          </w:p>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3601CB">
        <w:trPr>
          <w:trHeight w:val="1206"/>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proofErr w:type="spellStart"/>
            <w:r w:rsidRPr="00AA72B4">
              <w:rPr>
                <w:spacing w:val="-3"/>
                <w:sz w:val="20"/>
              </w:rPr>
              <w:t>zagos</w:t>
            </w:r>
            <w:proofErr w:type="spellEnd"/>
            <w:r w:rsidRPr="00AA72B4">
              <w:rPr>
                <w:spacing w:val="-3"/>
                <w:sz w:val="20"/>
              </w:rPr>
              <w:t xml:space="preserve">-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w:t>
            </w:r>
            <w:proofErr w:type="spellStart"/>
            <w:r w:rsidRPr="00AA72B4">
              <w:rPr>
                <w:spacing w:val="-3"/>
                <w:sz w:val="20"/>
              </w:rPr>
              <w:t>ob</w:t>
            </w:r>
            <w:proofErr w:type="spellEnd"/>
            <w:r w:rsidRPr="00AA72B4">
              <w:rPr>
                <w:spacing w:val="-3"/>
                <w:sz w:val="20"/>
              </w:rPr>
              <w:t xml:space="preserve">- </w:t>
            </w:r>
            <w:proofErr w:type="spellStart"/>
            <w:r w:rsidRPr="00AA72B4">
              <w:rPr>
                <w:spacing w:val="-4"/>
                <w:sz w:val="20"/>
              </w:rPr>
              <w:t>szarach</w:t>
            </w:r>
            <w:proofErr w:type="spellEnd"/>
            <w:r w:rsidRPr="00AA72B4">
              <w:rPr>
                <w:spacing w:val="-4"/>
                <w:sz w:val="20"/>
              </w:rPr>
              <w:t xml:space="preserve"> szczególnego zagrożenia </w:t>
            </w:r>
            <w:proofErr w:type="spellStart"/>
            <w:r w:rsidRPr="00AA72B4">
              <w:rPr>
                <w:spacing w:val="-4"/>
                <w:sz w:val="20"/>
              </w:rPr>
              <w:t>powo</w:t>
            </w:r>
            <w:proofErr w:type="spellEnd"/>
            <w:r w:rsidRPr="00AA72B4">
              <w:rPr>
                <w:spacing w:val="-4"/>
                <w:sz w:val="20"/>
              </w:rPr>
              <w:t xml:space="preserve">- </w:t>
            </w:r>
            <w:proofErr w:type="spellStart"/>
            <w:r w:rsidRPr="00AA72B4">
              <w:rPr>
                <w:spacing w:val="-4"/>
                <w:sz w:val="20"/>
              </w:rPr>
              <w:t>dzią</w:t>
            </w:r>
            <w:proofErr w:type="spellEnd"/>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2C32BA6C" w14:textId="77777777" w:rsidR="00B733A1" w:rsidRPr="00AA72B4" w:rsidRDefault="00B733A1" w:rsidP="00B733A1">
      <w:pPr>
        <w:pStyle w:val="Tekstpodstawowy"/>
      </w:pPr>
    </w:p>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3601CB">
        <w:trPr>
          <w:trHeight w:val="544"/>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3601CB">
        <w:trPr>
          <w:trHeight w:val="841"/>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 xml:space="preserve">miejscowych planach </w:t>
            </w:r>
            <w:proofErr w:type="spellStart"/>
            <w:r w:rsidRPr="00AA72B4">
              <w:rPr>
                <w:sz w:val="20"/>
              </w:rPr>
              <w:t>zagospodarowa</w:t>
            </w:r>
            <w:proofErr w:type="spellEnd"/>
            <w:r w:rsidRPr="00AA72B4">
              <w:rPr>
                <w:sz w:val="20"/>
              </w:rPr>
              <w:t xml:space="preserve">- </w:t>
            </w:r>
            <w:proofErr w:type="spellStart"/>
            <w:r w:rsidRPr="00AA72B4">
              <w:rPr>
                <w:sz w:val="20"/>
              </w:rPr>
              <w:t>nia</w:t>
            </w:r>
            <w:proofErr w:type="spellEnd"/>
            <w:r w:rsidRPr="00AA72B4">
              <w:rPr>
                <w:sz w:val="20"/>
              </w:rPr>
              <w:t xml:space="preserve">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7777777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Pr="001C3E97">
              <w:rPr>
                <w:sz w:val="20"/>
                <w:szCs w:val="20"/>
                <w:highlight w:val="yellow"/>
              </w:rPr>
              <w:t>[•]</w:t>
            </w:r>
            <w:r w:rsidRPr="00AA72B4">
              <w:rPr>
                <w:sz w:val="20"/>
                <w:szCs w:val="20"/>
              </w:rPr>
              <w:t xml:space="preserve"> r. (Znak </w:t>
            </w:r>
            <w:r w:rsidRPr="00AA72B4">
              <w:rPr>
                <w:sz w:val="20"/>
                <w:szCs w:val="20"/>
              </w:rPr>
              <w:lastRenderedPageBreak/>
              <w:t xml:space="preserve">sprawy: </w:t>
            </w:r>
            <w:r w:rsidRPr="001C3E97">
              <w:rPr>
                <w:sz w:val="20"/>
                <w:szCs w:val="20"/>
                <w:highlight w:val="yellow"/>
              </w:rPr>
              <w:t>…..</w:t>
            </w:r>
            <w:r w:rsidRPr="00AF1069">
              <w:rPr>
                <w:sz w:val="20"/>
                <w:szCs w:val="20"/>
              </w:rPr>
              <w:t>)</w:t>
            </w:r>
            <w:r>
              <w:rPr>
                <w:sz w:val="20"/>
                <w:szCs w:val="20"/>
              </w:rPr>
              <w:t>,</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xml:space="preserve">- budowa sieci kanalizacji deszczowej i kanalizacji deszczowej w drodze na dz. </w:t>
            </w:r>
            <w:proofErr w:type="spellStart"/>
            <w:r w:rsidRPr="00AA72B4">
              <w:rPr>
                <w:sz w:val="20"/>
                <w:szCs w:val="20"/>
              </w:rPr>
              <w:t>ewid</w:t>
            </w:r>
            <w:proofErr w:type="spellEnd"/>
            <w:r w:rsidRPr="00AA72B4">
              <w:rPr>
                <w:sz w:val="20"/>
                <w:szCs w:val="20"/>
              </w:rPr>
              <w:t>.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SZCZELNYM NA WODY DESZCZOWE, PARKINGIEM ORAZ NIEZBĘDNĄ INFRASTRUKTURĄ przy ul. Warszawskiej na działkach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zbiornika na ciekły azot przy ul. Grudzi na dz. </w:t>
            </w:r>
            <w:proofErr w:type="spellStart"/>
            <w:r w:rsidRPr="00AA72B4">
              <w:rPr>
                <w:color w:val="000000"/>
                <w:sz w:val="20"/>
                <w:szCs w:val="20"/>
              </w:rPr>
              <w:t>ewid</w:t>
            </w:r>
            <w:proofErr w:type="spellEnd"/>
            <w:r w:rsidRPr="00AA72B4">
              <w:rPr>
                <w:color w:val="000000"/>
                <w:sz w:val="20"/>
                <w:szCs w:val="20"/>
              </w:rPr>
              <w:t>.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xml:space="preserve">- budowa dwóch elektrowni wiatrowych przy ul. Grudzi w Dawidach Bankowych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xml:space="preserve">- budowa gazociągu wraz z budowa przyłączy oraz budowa instalacji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budynku usługowego z szambem przy ul. Warszawskiej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gazociągu średniego ciśnienia przy ul. Rycerskiej na dz. </w:t>
            </w:r>
            <w:proofErr w:type="spellStart"/>
            <w:r w:rsidRPr="00AA72B4">
              <w:rPr>
                <w:color w:val="000000"/>
                <w:sz w:val="20"/>
                <w:szCs w:val="20"/>
              </w:rPr>
              <w:t>ewid</w:t>
            </w:r>
            <w:proofErr w:type="spellEnd"/>
            <w:r w:rsidRPr="00AA72B4">
              <w:rPr>
                <w:color w:val="000000"/>
                <w:sz w:val="20"/>
                <w:szCs w:val="20"/>
              </w:rPr>
              <w:t>.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sieci kablowej średniego </w:t>
            </w:r>
            <w:r w:rsidRPr="00AA72B4">
              <w:rPr>
                <w:sz w:val="20"/>
                <w:szCs w:val="20"/>
              </w:rPr>
              <w:lastRenderedPageBreak/>
              <w:t>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 xml:space="preserve">budowa kanalizacji sanitarnej w Dawidach Bankowych, na działkach </w:t>
            </w:r>
            <w:proofErr w:type="spellStart"/>
            <w:r w:rsidRPr="00AA72B4">
              <w:rPr>
                <w:sz w:val="20"/>
                <w:szCs w:val="20"/>
                <w:shd w:val="clear" w:color="auto" w:fill="FFFFFF" w:themeFill="background1"/>
              </w:rPr>
              <w:t>ewid</w:t>
            </w:r>
            <w:proofErr w:type="spellEnd"/>
            <w:r w:rsidRPr="00AA72B4">
              <w:rPr>
                <w:sz w:val="20"/>
                <w:szCs w:val="20"/>
                <w:shd w:val="clear" w:color="auto" w:fill="FFFFFF" w:themeFill="background1"/>
              </w:rPr>
              <w:t>.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elektroenergetycznej stacji transformatorowej 15/0,4 </w:t>
            </w:r>
            <w:proofErr w:type="spellStart"/>
            <w:r w:rsidRPr="00AA72B4">
              <w:rPr>
                <w:sz w:val="20"/>
                <w:szCs w:val="20"/>
              </w:rPr>
              <w:t>kV</w:t>
            </w:r>
            <w:proofErr w:type="spellEnd"/>
            <w:r w:rsidRPr="00AA72B4">
              <w:rPr>
                <w:sz w:val="20"/>
                <w:szCs w:val="20"/>
              </w:rPr>
              <w:t xml:space="preserve">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xml:space="preserve">- budowa zbiornika na ciekły azot na działce </w:t>
            </w:r>
            <w:proofErr w:type="spellStart"/>
            <w:r w:rsidRPr="00AA72B4">
              <w:rPr>
                <w:sz w:val="20"/>
                <w:szCs w:val="20"/>
              </w:rPr>
              <w:t>ewid</w:t>
            </w:r>
            <w:proofErr w:type="spellEnd"/>
            <w:r w:rsidRPr="00AA72B4">
              <w:rPr>
                <w:sz w:val="20"/>
                <w:szCs w:val="20"/>
              </w:rPr>
              <w:t>.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nowej szkoły w Dawidach Bankowych na działce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w:t>
            </w:r>
            <w:r w:rsidRPr="00AA72B4">
              <w:rPr>
                <w:sz w:val="20"/>
                <w:szCs w:val="20"/>
              </w:rPr>
              <w:lastRenderedPageBreak/>
              <w:t xml:space="preserve">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benzynową wraz z myjnią 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 xml:space="preserve">wiatrowych na działce </w:t>
            </w:r>
            <w:proofErr w:type="spellStart"/>
            <w:r w:rsidRPr="00EC651C">
              <w:rPr>
                <w:color w:val="000000"/>
                <w:sz w:val="20"/>
                <w:szCs w:val="20"/>
              </w:rPr>
              <w:t>ewid</w:t>
            </w:r>
            <w:proofErr w:type="spellEnd"/>
            <w:r w:rsidRPr="00EC651C">
              <w:rPr>
                <w:color w:val="000000"/>
                <w:sz w:val="20"/>
                <w:szCs w:val="20"/>
              </w:rPr>
              <w:t>.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xml:space="preserve">- budowa sieci gazowej wraz z przyłączem przy ul. Dzwonkowej na działce </w:t>
            </w:r>
            <w:proofErr w:type="spellStart"/>
            <w:r w:rsidRPr="00EC651C">
              <w:rPr>
                <w:color w:val="000000"/>
                <w:sz w:val="20"/>
                <w:szCs w:val="20"/>
              </w:rPr>
              <w:t>ewid</w:t>
            </w:r>
            <w:proofErr w:type="spellEnd"/>
            <w:r w:rsidRPr="00EC651C">
              <w:rPr>
                <w:color w:val="000000"/>
                <w:sz w:val="20"/>
                <w:szCs w:val="20"/>
              </w:rPr>
              <w:t>.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w:t>
            </w:r>
            <w:proofErr w:type="spellStart"/>
            <w:r>
              <w:rPr>
                <w:color w:val="000000"/>
                <w:sz w:val="20"/>
                <w:szCs w:val="20"/>
              </w:rPr>
              <w:t>ewid</w:t>
            </w:r>
            <w:proofErr w:type="spellEnd"/>
            <w:r>
              <w:rPr>
                <w:color w:val="000000"/>
                <w:sz w:val="20"/>
                <w:szCs w:val="20"/>
              </w:rPr>
              <w:t xml:space="preserve">.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w:t>
            </w:r>
            <w:proofErr w:type="spellStart"/>
            <w:r w:rsidRPr="00AB1F46">
              <w:rPr>
                <w:color w:val="000000"/>
                <w:sz w:val="20"/>
                <w:szCs w:val="20"/>
              </w:rPr>
              <w:t>śc</w:t>
            </w:r>
            <w:proofErr w:type="spellEnd"/>
            <w:r w:rsidRPr="00AB1F46">
              <w:rPr>
                <w:color w:val="000000"/>
                <w:sz w:val="20"/>
                <w:szCs w:val="20"/>
              </w:rPr>
              <w:t xml:space="preserve"> wraz z przyłączami na działkach </w:t>
            </w:r>
            <w:proofErr w:type="spellStart"/>
            <w:r w:rsidRPr="00AB1F46">
              <w:rPr>
                <w:color w:val="000000"/>
                <w:sz w:val="20"/>
                <w:szCs w:val="20"/>
              </w:rPr>
              <w:t>ewid</w:t>
            </w:r>
            <w:proofErr w:type="spellEnd"/>
            <w:r w:rsidRPr="00AB1F46">
              <w:rPr>
                <w:color w:val="000000"/>
                <w:sz w:val="20"/>
                <w:szCs w:val="20"/>
              </w:rPr>
              <w:t>.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w:t>
            </w:r>
            <w:proofErr w:type="spellStart"/>
            <w:r w:rsidRPr="00AB1F46">
              <w:rPr>
                <w:color w:val="000000"/>
                <w:sz w:val="20"/>
                <w:szCs w:val="20"/>
              </w:rPr>
              <w:t>ewid</w:t>
            </w:r>
            <w:proofErr w:type="spellEnd"/>
            <w:r w:rsidRPr="00AB1F46">
              <w:rPr>
                <w:color w:val="000000"/>
                <w:sz w:val="20"/>
                <w:szCs w:val="20"/>
              </w:rPr>
              <w:t xml:space="preserve">.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proofErr w:type="spellStart"/>
            <w:r>
              <w:rPr>
                <w:color w:val="000000"/>
                <w:sz w:val="20"/>
                <w:szCs w:val="20"/>
              </w:rPr>
              <w:t>ść</w:t>
            </w:r>
            <w:proofErr w:type="spellEnd"/>
            <w:r>
              <w:rPr>
                <w:color w:val="000000"/>
                <w:sz w:val="20"/>
                <w:szCs w:val="20"/>
              </w:rPr>
              <w:t xml:space="preserve"> </w:t>
            </w:r>
            <w:r w:rsidRPr="00AB1F46">
              <w:rPr>
                <w:color w:val="000000"/>
                <w:sz w:val="20"/>
                <w:szCs w:val="20"/>
              </w:rPr>
              <w:t xml:space="preserve">przy ul. Szlacheckiej na działce </w:t>
            </w:r>
            <w:proofErr w:type="spellStart"/>
            <w:r w:rsidRPr="00AB1F46">
              <w:rPr>
                <w:color w:val="000000"/>
                <w:sz w:val="20"/>
                <w:szCs w:val="20"/>
              </w:rPr>
              <w:t>ewid</w:t>
            </w:r>
            <w:proofErr w:type="spellEnd"/>
            <w:r w:rsidRPr="00AB1F46">
              <w:rPr>
                <w:color w:val="000000"/>
                <w:sz w:val="20"/>
                <w:szCs w:val="20"/>
              </w:rPr>
              <w:t>.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 xml:space="preserve">budowa kanalizacji deszczowej na dz. </w:t>
            </w:r>
            <w:proofErr w:type="spellStart"/>
            <w:r w:rsidRPr="008269B8">
              <w:rPr>
                <w:color w:val="000000"/>
                <w:sz w:val="20"/>
                <w:szCs w:val="20"/>
              </w:rPr>
              <w:t>ewid</w:t>
            </w:r>
            <w:proofErr w:type="spellEnd"/>
            <w:r w:rsidRPr="008269B8">
              <w:rPr>
                <w:color w:val="000000"/>
                <w:sz w:val="20"/>
                <w:szCs w:val="20"/>
              </w:rPr>
              <w:t xml:space="preserve">. nr 34/32 oraz nr 39 (m.in. wzdłuż rzeki </w:t>
            </w:r>
            <w:proofErr w:type="spellStart"/>
            <w:r w:rsidRPr="008269B8">
              <w:rPr>
                <w:color w:val="000000"/>
                <w:sz w:val="20"/>
                <w:szCs w:val="20"/>
              </w:rPr>
              <w:t>Raszynki</w:t>
            </w:r>
            <w:proofErr w:type="spellEnd"/>
            <w:r w:rsidRPr="008269B8">
              <w:rPr>
                <w:color w:val="000000"/>
                <w:sz w:val="20"/>
                <w:szCs w:val="20"/>
              </w:rPr>
              <w:t>) w miejsc. Laszczki (ST-MZ-PR/ZGŁOSZENIE/82/2026);</w:t>
            </w:r>
          </w:p>
          <w:p w14:paraId="299926E6"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 xml:space="preserve">budowa wodociągu na dz. </w:t>
            </w:r>
            <w:proofErr w:type="spellStart"/>
            <w:r w:rsidRPr="00221FF5">
              <w:rPr>
                <w:color w:val="000000"/>
                <w:sz w:val="20"/>
                <w:szCs w:val="20"/>
              </w:rPr>
              <w:t>ewid</w:t>
            </w:r>
            <w:proofErr w:type="spellEnd"/>
            <w:r w:rsidRPr="00221FF5">
              <w:rPr>
                <w:color w:val="000000"/>
                <w:sz w:val="20"/>
                <w:szCs w:val="20"/>
              </w:rPr>
              <w:t>. nr 56/39 w Dawidach Bankowych (ST-MZ-PR/ZGŁOSZENIE/1014/2026)</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 xml:space="preserve">decyzjach o środowiskowych </w:t>
            </w:r>
            <w:proofErr w:type="spellStart"/>
            <w:r w:rsidRPr="00AA72B4">
              <w:rPr>
                <w:sz w:val="20"/>
              </w:rPr>
              <w:t>uwarun</w:t>
            </w:r>
            <w:proofErr w:type="spellEnd"/>
            <w:r w:rsidRPr="00AA72B4">
              <w:rPr>
                <w:sz w:val="20"/>
              </w:rPr>
              <w:t xml:space="preserve">- </w:t>
            </w:r>
            <w:proofErr w:type="spellStart"/>
            <w:r w:rsidRPr="00AA72B4">
              <w:rPr>
                <w:sz w:val="20"/>
              </w:rPr>
              <w:t>kowaniach</w:t>
            </w:r>
            <w:proofErr w:type="spellEnd"/>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 xml:space="preserve">Ustalenia decyzji w zakresie rozmieszczenia inwestycji celu publicznego, mogące mieć znaczenie dla terenu objętego przedsięwzięciem deweloperskim lub zada- </w:t>
            </w:r>
            <w:proofErr w:type="spellStart"/>
            <w:r w:rsidRPr="00AA72B4">
              <w:rPr>
                <w:sz w:val="20"/>
              </w:rPr>
              <w:t>niem</w:t>
            </w:r>
            <w:proofErr w:type="spellEnd"/>
            <w:r w:rsidRPr="00AA72B4">
              <w:rPr>
                <w:sz w:val="20"/>
              </w:rPr>
              <w:t xml:space="preserve">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77777777" w:rsidR="00B733A1" w:rsidRPr="00AA72B4" w:rsidRDefault="00B733A1" w:rsidP="003601CB">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budowy obiektu </w:t>
            </w:r>
            <w:proofErr w:type="spellStart"/>
            <w:r w:rsidRPr="00AA72B4">
              <w:rPr>
                <w:sz w:val="20"/>
              </w:rPr>
              <w:t>energe</w:t>
            </w:r>
            <w:proofErr w:type="spellEnd"/>
            <w:r w:rsidRPr="00AA72B4">
              <w:rPr>
                <w:sz w:val="20"/>
              </w:rPr>
              <w:t>-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 xml:space="preserve">decyzja o ustaleniu lokalizacji </w:t>
            </w:r>
            <w:proofErr w:type="spellStart"/>
            <w:r w:rsidRPr="00AA72B4">
              <w:rPr>
                <w:sz w:val="20"/>
              </w:rPr>
              <w:t>regio</w:t>
            </w:r>
            <w:proofErr w:type="spellEnd"/>
            <w:r w:rsidRPr="00AA72B4">
              <w:rPr>
                <w:sz w:val="20"/>
              </w:rPr>
              <w:t xml:space="preserve">- </w:t>
            </w:r>
            <w:proofErr w:type="spellStart"/>
            <w:r w:rsidRPr="00AA72B4">
              <w:rPr>
                <w:sz w:val="20"/>
              </w:rPr>
              <w:t>nalnej</w:t>
            </w:r>
            <w:proofErr w:type="spellEnd"/>
            <w:r w:rsidRPr="00AA72B4">
              <w:rPr>
                <w:sz w:val="20"/>
              </w:rPr>
              <w:t xml:space="preserve">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Centralnego Portu Ko- </w:t>
            </w:r>
            <w:proofErr w:type="spellStart"/>
            <w:r w:rsidRPr="00AA72B4">
              <w:rPr>
                <w:sz w:val="20"/>
              </w:rPr>
              <w:t>munikacyjnego</w:t>
            </w:r>
            <w:proofErr w:type="spellEnd"/>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sektorze nafto- </w:t>
            </w:r>
            <w:proofErr w:type="spellStart"/>
            <w:r w:rsidRPr="00AA72B4">
              <w:rPr>
                <w:sz w:val="20"/>
              </w:rPr>
              <w:t>wym</w:t>
            </w:r>
            <w:proofErr w:type="spellEnd"/>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w:t>
            </w:r>
            <w:proofErr w:type="spellStart"/>
            <w:r w:rsidRPr="002011EB">
              <w:rPr>
                <w:rFonts w:eastAsiaTheme="minorHAnsi"/>
                <w:bCs/>
                <w:sz w:val="20"/>
                <w:szCs w:val="20"/>
              </w:rPr>
              <w:t>obr</w:t>
            </w:r>
            <w:proofErr w:type="spellEnd"/>
            <w:r w:rsidRPr="002011EB">
              <w:rPr>
                <w:rFonts w:eastAsiaTheme="minorHAnsi"/>
                <w:bCs/>
                <w:sz w:val="20"/>
                <w:szCs w:val="20"/>
              </w:rPr>
              <w:t>.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proofErr w:type="spellStart"/>
            <w:r w:rsidRPr="00AA72B4">
              <w:rPr>
                <w:spacing w:val="-3"/>
                <w:sz w:val="20"/>
              </w:rPr>
              <w:t>decy</w:t>
            </w:r>
            <w:proofErr w:type="spellEnd"/>
            <w:r w:rsidRPr="00AA72B4">
              <w:rPr>
                <w:spacing w:val="-3"/>
                <w:sz w:val="20"/>
              </w:rPr>
              <w:t xml:space="preserve">- </w:t>
            </w:r>
            <w:proofErr w:type="spellStart"/>
            <w:r w:rsidRPr="00AA72B4">
              <w:rPr>
                <w:sz w:val="20"/>
              </w:rPr>
              <w:t>zji</w:t>
            </w:r>
            <w:proofErr w:type="spellEnd"/>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lastRenderedPageBreak/>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proofErr w:type="spellStart"/>
            <w:r w:rsidRPr="00AA72B4">
              <w:rPr>
                <w:spacing w:val="-4"/>
                <w:sz w:val="20"/>
              </w:rPr>
              <w:t>wnie</w:t>
            </w:r>
            <w:proofErr w:type="spellEnd"/>
            <w:r w:rsidRPr="00AA72B4">
              <w:rPr>
                <w:spacing w:val="-4"/>
                <w:sz w:val="20"/>
              </w:rPr>
              <w:t xml:space="preserve">- </w:t>
            </w:r>
            <w:proofErr w:type="spellStart"/>
            <w:r w:rsidRPr="00AA72B4">
              <w:rPr>
                <w:spacing w:val="-4"/>
                <w:sz w:val="20"/>
              </w:rPr>
              <w:t>sienia</w:t>
            </w:r>
            <w:proofErr w:type="spellEnd"/>
            <w:r w:rsidRPr="00AA72B4">
              <w:rPr>
                <w:spacing w:val="-4"/>
                <w:sz w:val="20"/>
              </w:rPr>
              <w:t xml:space="preserve">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w:t>
      </w:r>
      <w:proofErr w:type="spellStart"/>
      <w:r w:rsidRPr="00AA72B4">
        <w:rPr>
          <w:sz w:val="18"/>
        </w:rPr>
        <w:t>rzy</w:t>
      </w:r>
      <w:proofErr w:type="spellEnd"/>
      <w:r w:rsidRPr="00AA72B4">
        <w:rPr>
          <w:sz w:val="18"/>
        </w:rPr>
        <w:t xml:space="preserve">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 xml:space="preserve">Rozmieszczenie budynków na </w:t>
            </w:r>
            <w:proofErr w:type="spellStart"/>
            <w:r w:rsidRPr="00AA72B4">
              <w:rPr>
                <w:sz w:val="20"/>
              </w:rPr>
              <w:t>nieru</w:t>
            </w:r>
            <w:proofErr w:type="spellEnd"/>
            <w:r w:rsidRPr="00AA72B4">
              <w:rPr>
                <w:sz w:val="20"/>
              </w:rPr>
              <w:t xml:space="preserve">- </w:t>
            </w:r>
            <w:proofErr w:type="spellStart"/>
            <w:r w:rsidRPr="00AA72B4">
              <w:rPr>
                <w:sz w:val="20"/>
              </w:rPr>
              <w:t>chomości</w:t>
            </w:r>
            <w:proofErr w:type="spellEnd"/>
            <w:r w:rsidRPr="00AA72B4">
              <w:rPr>
                <w:sz w:val="20"/>
              </w:rPr>
              <w:t xml:space="preserve">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 xml:space="preserve">Rodzaj posiadanych środków </w:t>
            </w:r>
            <w:proofErr w:type="spellStart"/>
            <w:r w:rsidRPr="00AA72B4">
              <w:rPr>
                <w:sz w:val="20"/>
              </w:rPr>
              <w:t>finanso</w:t>
            </w:r>
            <w:proofErr w:type="spellEnd"/>
            <w:r w:rsidRPr="00AA72B4">
              <w:rPr>
                <w:sz w:val="20"/>
              </w:rPr>
              <w:t xml:space="preserve">- </w:t>
            </w:r>
            <w:proofErr w:type="spellStart"/>
            <w:r w:rsidRPr="00AA72B4">
              <w:rPr>
                <w:sz w:val="20"/>
              </w:rPr>
              <w:t>wych</w:t>
            </w:r>
            <w:proofErr w:type="spellEnd"/>
            <w:r w:rsidRPr="00AA72B4">
              <w:rPr>
                <w:sz w:val="20"/>
              </w:rPr>
              <w:t xml:space="preserve">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w:t>
            </w:r>
            <w:proofErr w:type="spellStart"/>
            <w:r w:rsidRPr="00AA72B4">
              <w:rPr>
                <w:spacing w:val="-6"/>
                <w:sz w:val="20"/>
              </w:rPr>
              <w:t>finanso</w:t>
            </w:r>
            <w:proofErr w:type="spellEnd"/>
            <w:r w:rsidRPr="00AA72B4">
              <w:rPr>
                <w:spacing w:val="-6"/>
                <w:sz w:val="20"/>
              </w:rPr>
              <w:t xml:space="preserve">- </w:t>
            </w:r>
            <w:proofErr w:type="spellStart"/>
            <w:r w:rsidRPr="00AA72B4">
              <w:rPr>
                <w:spacing w:val="-5"/>
                <w:sz w:val="20"/>
              </w:rPr>
              <w:t>wych</w:t>
            </w:r>
            <w:proofErr w:type="spellEnd"/>
            <w:r w:rsidRPr="00AA72B4">
              <w:rPr>
                <w:spacing w:val="-5"/>
                <w:sz w:val="20"/>
              </w:rPr>
              <w:t xml:space="preserve">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t xml:space="preserve">Otwarty mieszkaniowy rachunek po- </w:t>
            </w:r>
            <w:proofErr w:type="spellStart"/>
            <w:r w:rsidRPr="00AA72B4">
              <w:rPr>
                <w:sz w:val="20"/>
              </w:rPr>
              <w:t>wierniczy</w:t>
            </w:r>
            <w:proofErr w:type="spellEnd"/>
            <w:r w:rsidRPr="00AA72B4">
              <w:rPr>
                <w:sz w:val="20"/>
              </w:rPr>
              <w:t>*</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 xml:space="preserve">Zamknięty mieszkaniowy rachunek po- </w:t>
            </w:r>
            <w:proofErr w:type="spellStart"/>
            <w:r w:rsidRPr="00AA72B4">
              <w:rPr>
                <w:sz w:val="20"/>
              </w:rPr>
              <w:t>wierniczy</w:t>
            </w:r>
            <w:proofErr w:type="spellEnd"/>
            <w:r w:rsidRPr="00AA72B4">
              <w:rPr>
                <w:sz w:val="20"/>
              </w:rPr>
              <w:t>*</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77777777" w:rsidR="00B733A1" w:rsidRPr="00A5797E" w:rsidRDefault="00B733A1" w:rsidP="003601CB">
            <w:pPr>
              <w:widowControl/>
              <w:spacing w:after="80" w:line="276" w:lineRule="auto"/>
              <w:ind w:left="112" w:right="207"/>
              <w:jc w:val="both"/>
              <w:rPr>
                <w:rFonts w:eastAsia="Calibri"/>
                <w:sz w:val="20"/>
                <w:szCs w:val="20"/>
                <w:highlight w:val="yellow"/>
              </w:rPr>
            </w:pPr>
            <w:r w:rsidRPr="00A5797E">
              <w:rPr>
                <w:rFonts w:eastAsia="Calibri"/>
                <w:sz w:val="20"/>
                <w:szCs w:val="20"/>
                <w:highlight w:val="yellow"/>
              </w:rPr>
              <w:t xml:space="preserve">Zgodnie z postanowieniami Umowy o prowadzenie otwartego mieszkaniowego rachunku powierniczego zawartej z </w:t>
            </w:r>
            <w:r w:rsidRPr="00A5797E">
              <w:rPr>
                <w:sz w:val="20"/>
                <w:szCs w:val="20"/>
                <w:highlight w:val="yellow"/>
              </w:rPr>
              <w:t>Bankiem Spółdzielczym w Piasecznie z siedzibą w Piasecznie</w:t>
            </w:r>
            <w:r w:rsidRPr="00A5797E">
              <w:rPr>
                <w:rFonts w:eastAsia="Calibri"/>
                <w:sz w:val="20"/>
                <w:szCs w:val="20"/>
                <w:highlight w:val="yellow"/>
              </w:rPr>
              <w:t xml:space="preserve"> („Bank”) w dniu ……….. r. („Umowa”) Bank zobowiązał się do otwarcia i prowadzenia dla Dewelopera otwartego mieszkaniowego rachunku powierniczego o numerze </w:t>
            </w:r>
            <w:r w:rsidRPr="00A5797E">
              <w:rPr>
                <w:sz w:val="20"/>
                <w:szCs w:val="20"/>
                <w:highlight w:val="yellow"/>
              </w:rPr>
              <w:t>……………………………………….</w:t>
            </w:r>
            <w:r w:rsidRPr="00A5797E">
              <w:rPr>
                <w:rFonts w:eastAsia="Calibri"/>
                <w:sz w:val="20"/>
                <w:szCs w:val="20"/>
                <w:highlight w:val="yellow"/>
              </w:rPr>
              <w:t xml:space="preserve">  („OMRP”) w rozumieniu przepisu art. 5 pkt 9) Ustawy Deweloperskiej  wraz z powiązanymi rachunkami ewidencyjnymi przypisanymi dla każdego nabywcy z osobna, służącymi do ewidencjonowania wpłat i wypłat poszczególnych </w:t>
            </w:r>
            <w:r w:rsidRPr="00A5797E">
              <w:rPr>
                <w:rFonts w:eastAsia="Calibri"/>
                <w:sz w:val="20"/>
                <w:szCs w:val="20"/>
                <w:highlight w:val="yellow"/>
              </w:rPr>
              <w:lastRenderedPageBreak/>
              <w:t>nabywców lokali mieszkalnych z tytułu płatności, zgodnie z harmonogramem płatności określonym w Umowie Deweloperskiej.</w:t>
            </w:r>
          </w:p>
          <w:p w14:paraId="15361655" w14:textId="77777777" w:rsidR="00B733A1" w:rsidRPr="00A5797E" w:rsidRDefault="00B733A1" w:rsidP="003601CB">
            <w:pPr>
              <w:widowControl/>
              <w:spacing w:after="80"/>
              <w:ind w:left="112" w:right="207"/>
              <w:jc w:val="both"/>
              <w:rPr>
                <w:rFonts w:eastAsia="Calibri"/>
                <w:sz w:val="20"/>
                <w:szCs w:val="20"/>
                <w:highlight w:val="yellow"/>
              </w:rPr>
            </w:pPr>
            <w:r w:rsidRPr="00A5797E">
              <w:rPr>
                <w:rFonts w:eastAsia="Calibri"/>
                <w:sz w:val="20"/>
                <w:szCs w:val="20"/>
                <w:highlight w:val="yellow"/>
              </w:rPr>
              <w:t>Zgodnie z zawartą z Bankiem Umową o prowadzenie OMRP główne zasady funkcjonowania tego rachunku są następujące:</w:t>
            </w:r>
          </w:p>
          <w:p w14:paraId="57036EF4"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 xml:space="preserve">Bank otwiera i prowadzi na rzecz Dewelopera OMRP w walucie PLN, </w:t>
            </w:r>
            <w:r w:rsidRPr="00A5797E">
              <w:rPr>
                <w:sz w:val="20"/>
                <w:szCs w:val="20"/>
                <w:highlight w:val="yellow"/>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Wpłaty dokonywane na powiązane ewidencyjne mieszkaniowe rachunki powiernicze księgowane będą  na OMRP</w:t>
            </w:r>
            <w:r w:rsidRPr="00A5797E">
              <w:rPr>
                <w:b/>
                <w:sz w:val="20"/>
                <w:szCs w:val="20"/>
                <w:highlight w:val="yellow"/>
              </w:rPr>
              <w:t>;</w:t>
            </w:r>
          </w:p>
          <w:p w14:paraId="3F17B073"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A5797E">
              <w:rPr>
                <w:sz w:val="20"/>
                <w:szCs w:val="20"/>
                <w:highlight w:val="yellow"/>
              </w:rPr>
              <w:br/>
              <w:t>w Banku, z zastrzeżeniem postanowień § 6, 8, 9 i 10 Umowy OMPR  lub do zwrotu środków pieniężnych nabywców w przypadkach określonych w Umowie OMRP;</w:t>
            </w:r>
          </w:p>
          <w:p w14:paraId="0AD8FD01"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zobowiązany jest do niezwłocznego informowania Banku o wszelkich zmianach umowy deweloperskiej w terminie  3 dni od dnia zaistnienia takiego zdarzenia;</w:t>
            </w:r>
          </w:p>
          <w:p w14:paraId="416EBEF1"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 xml:space="preserve">Deweloper </w:t>
            </w:r>
            <w:r w:rsidRPr="00A5797E">
              <w:rPr>
                <w:sz w:val="20"/>
                <w:szCs w:val="20"/>
                <w:highlight w:val="yellow"/>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środki pieniężne zgromadzone na OMRP są nieoprocentowane;</w:t>
            </w:r>
          </w:p>
          <w:p w14:paraId="2543B742"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1" w:name="_Hlk107393212"/>
            <w:r w:rsidRPr="00A5797E">
              <w:rPr>
                <w:sz w:val="20"/>
                <w:szCs w:val="20"/>
                <w:highlight w:val="yellow"/>
              </w:rPr>
              <w:t>o wartości nie niższej niż należna składka</w:t>
            </w:r>
            <w:bookmarkEnd w:id="1"/>
            <w:r w:rsidRPr="00A5797E">
              <w:rPr>
                <w:sz w:val="20"/>
                <w:szCs w:val="20"/>
                <w:highlight w:val="yellow"/>
              </w:rPr>
              <w:t>;</w:t>
            </w:r>
          </w:p>
          <w:p w14:paraId="31DA220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Deweloper zawiadamia Bank o zakończeniu każdego etapu realizacji przedsięwzięcia deweloperskiego poprzez złożenie </w:t>
            </w:r>
            <w:bookmarkStart w:id="2" w:name="_Hlk104191579"/>
            <w:r w:rsidRPr="00A5797E">
              <w:rPr>
                <w:sz w:val="20"/>
                <w:szCs w:val="20"/>
                <w:highlight w:val="yellow"/>
              </w:rPr>
              <w:t>zawiadomienia o zakończeniu danego etapu wraz z</w:t>
            </w:r>
            <w:bookmarkEnd w:id="2"/>
            <w:r w:rsidRPr="00A5797E">
              <w:rPr>
                <w:sz w:val="20"/>
                <w:szCs w:val="20"/>
                <w:highlight w:val="yellow"/>
              </w:rPr>
              <w:t xml:space="preserve"> dyspozycją wypłaty stanowiącym załącznik </w:t>
            </w:r>
            <w:r w:rsidRPr="00A5797E">
              <w:rPr>
                <w:sz w:val="20"/>
                <w:szCs w:val="20"/>
                <w:highlight w:val="yellow"/>
              </w:rPr>
              <w:lastRenderedPageBreak/>
              <w:t>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zakończenie każdego etapu realizacji przedsięwzięcia deweloperskiego zostanie wyraźnie stwierdzone odrębnym wpisem kierownika budowy w dzienniku budowy;</w:t>
            </w:r>
          </w:p>
          <w:p w14:paraId="5BF90827"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trakcie kontroli Bank ma prawo wglądu do rachunków bankowych Dewelopera oraz kontroli dokumentacji w zakresie dotyczącym przedsięwzięcia deweloperskiego;</w:t>
            </w:r>
          </w:p>
          <w:p w14:paraId="403D412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kontrola Banku w związku z realizacją przez dewelopera umowy deweloperskiej obejmuje</w:t>
            </w:r>
            <w:bookmarkStart w:id="3" w:name="mip59469168"/>
            <w:bookmarkStart w:id="4" w:name="mip59469170"/>
            <w:bookmarkEnd w:id="3"/>
            <w:bookmarkEnd w:id="4"/>
            <w:r w:rsidRPr="00A5797E">
              <w:rPr>
                <w:sz w:val="20"/>
                <w:szCs w:val="20"/>
                <w:highlight w:val="yellow"/>
              </w:rPr>
              <w:t>:</w:t>
            </w:r>
          </w:p>
          <w:p w14:paraId="08F9C94B" w14:textId="77777777" w:rsidR="00B733A1" w:rsidRPr="00A5797E" w:rsidRDefault="00B733A1" w:rsidP="003601CB">
            <w:pPr>
              <w:widowControl/>
              <w:numPr>
                <w:ilvl w:val="0"/>
                <w:numId w:val="26"/>
              </w:numPr>
              <w:autoSpaceDE/>
              <w:autoSpaceDN/>
              <w:spacing w:before="120" w:line="276" w:lineRule="auto"/>
              <w:ind w:left="679" w:hanging="284"/>
              <w:jc w:val="both"/>
              <w:rPr>
                <w:sz w:val="20"/>
                <w:szCs w:val="20"/>
                <w:highlight w:val="yellow"/>
              </w:rPr>
            </w:pPr>
            <w:r w:rsidRPr="00A5797E">
              <w:rPr>
                <w:sz w:val="20"/>
                <w:szCs w:val="20"/>
                <w:highlight w:val="yellow"/>
              </w:rPr>
              <w:t xml:space="preserve">sprawdzenie, czy: </w:t>
            </w:r>
          </w:p>
          <w:p w14:paraId="71ABFE56"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A5797E">
                <w:rPr>
                  <w:rStyle w:val="Hipercze"/>
                  <w:color w:val="auto"/>
                  <w:sz w:val="20"/>
                  <w:szCs w:val="20"/>
                  <w:highlight w:val="yellow"/>
                  <w:u w:val="none"/>
                </w:rPr>
                <w:t>art. 38 ust. 2</w:t>
              </w:r>
            </w:hyperlink>
            <w:r w:rsidRPr="00A5797E">
              <w:rPr>
                <w:sz w:val="20"/>
                <w:szCs w:val="20"/>
                <w:highlight w:val="yellow"/>
              </w:rPr>
              <w:t xml:space="preserve"> Ustawy deweloperskiej, w przypadku gdy Deweloper nie jest właścicielem albo użytkownikiem wieczystym nieruchomości, </w:t>
            </w:r>
          </w:p>
          <w:p w14:paraId="6E491D01"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bookmarkStart w:id="5" w:name="_Hlk104198216"/>
            <w:r w:rsidRPr="00A5797E">
              <w:rPr>
                <w:sz w:val="20"/>
                <w:szCs w:val="20"/>
                <w:highlight w:val="yellow"/>
              </w:rPr>
              <w:t xml:space="preserve">wobec Dewelopera nie zostało wszczęte postępowanie restrukturyzacyjne albo upadłościowe, przez weryfikację wpisu w KRS oraz informacji zawartych w KRZ, </w:t>
            </w:r>
          </w:p>
          <w:bookmarkEnd w:id="5"/>
          <w:p w14:paraId="05EAA1A2"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posiada pozwolenie na budowę albo dokonał zgłoszenia budowy, do którego organ administracji architektoniczno-budowlanej nie wniósł sprzeciwu, </w:t>
            </w:r>
          </w:p>
          <w:p w14:paraId="1547777B"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planowane przez Dewelopera przeznaczenie środków, które będą wypłacone z OMRP, jest zgodne ze sposobem wydatkowania środków określonym w </w:t>
            </w:r>
            <w:hyperlink r:id="rId11" w:history="1">
              <w:r w:rsidRPr="00A5797E">
                <w:rPr>
                  <w:rStyle w:val="Hipercze"/>
                  <w:color w:val="auto"/>
                  <w:sz w:val="20"/>
                  <w:szCs w:val="20"/>
                  <w:highlight w:val="yellow"/>
                  <w:u w:val="none"/>
                </w:rPr>
                <w:t>art. 13</w:t>
              </w:r>
            </w:hyperlink>
            <w:r w:rsidRPr="00A5797E">
              <w:rPr>
                <w:sz w:val="20"/>
                <w:szCs w:val="20"/>
                <w:highlight w:val="yellow"/>
              </w:rPr>
              <w:t xml:space="preserve"> Ustawy deweloperskiej, </w:t>
            </w:r>
          </w:p>
          <w:p w14:paraId="71BF62ED"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wydatkowanie środków wypłaconych z OMRP jest zgodne ze sposobem wydatkowania środków określonym w </w:t>
            </w:r>
            <w:hyperlink r:id="rId12" w:history="1">
              <w:r w:rsidRPr="00A5797E">
                <w:rPr>
                  <w:rStyle w:val="Hipercze"/>
                  <w:color w:val="auto"/>
                  <w:sz w:val="20"/>
                  <w:szCs w:val="20"/>
                  <w:highlight w:val="yellow"/>
                  <w:u w:val="none"/>
                </w:rPr>
                <w:t>art. 13</w:t>
              </w:r>
            </w:hyperlink>
            <w:r w:rsidRPr="00A5797E">
              <w:rPr>
                <w:sz w:val="20"/>
                <w:szCs w:val="20"/>
                <w:highlight w:val="yellow"/>
              </w:rPr>
              <w:t xml:space="preserve"> Ustawy, </w:t>
            </w:r>
          </w:p>
          <w:p w14:paraId="5643159B"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z podatkami i składkami na ubezpieczenie społeczne i zdrowotne, </w:t>
            </w:r>
          </w:p>
          <w:p w14:paraId="66A0D0B8"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uregulował wymagalne i bezsporne zobowiązania pieniężne wobec wykonawców lub podwykonawców, </w:t>
            </w:r>
          </w:p>
          <w:p w14:paraId="427414E3"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dokonał wpłaty składki na DFG w należnej wysokości, </w:t>
            </w:r>
          </w:p>
          <w:p w14:paraId="7A520D78"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ze zobowiązaniami wobec nabywców, którzy w ramach danego przedsięwzięcia deweloperskiego odstąpili od umowy na podstawie </w:t>
            </w:r>
            <w:hyperlink r:id="rId13" w:history="1">
              <w:r w:rsidRPr="00A5797E">
                <w:rPr>
                  <w:rStyle w:val="Hipercze"/>
                  <w:color w:val="auto"/>
                  <w:sz w:val="20"/>
                  <w:szCs w:val="20"/>
                  <w:highlight w:val="yellow"/>
                  <w:u w:val="none"/>
                </w:rPr>
                <w:t>art. 43 ust. 1-6</w:t>
              </w:r>
            </w:hyperlink>
            <w:r w:rsidRPr="00A5797E">
              <w:rPr>
                <w:sz w:val="20"/>
                <w:szCs w:val="20"/>
                <w:highlight w:val="yellow"/>
              </w:rPr>
              <w:t xml:space="preserve"> Ustawy deweloperskiej, </w:t>
            </w:r>
          </w:p>
          <w:p w14:paraId="38DBBFF6"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wobec DFG ze zobowiązaniem wynikającym z realizacji przez DFG zwrotu wpłat nabywcy w sytuacji, o której mowa w </w:t>
            </w:r>
            <w:hyperlink r:id="rId14" w:history="1">
              <w:r w:rsidRPr="00A5797E">
                <w:rPr>
                  <w:rStyle w:val="Hipercze"/>
                  <w:color w:val="auto"/>
                  <w:sz w:val="20"/>
                  <w:szCs w:val="20"/>
                  <w:highlight w:val="yellow"/>
                  <w:u w:val="none"/>
                </w:rPr>
                <w:t>art. 48 ust. 1 pkt 6</w:t>
              </w:r>
            </w:hyperlink>
            <w:r w:rsidRPr="00A5797E">
              <w:rPr>
                <w:sz w:val="20"/>
                <w:szCs w:val="20"/>
                <w:highlight w:val="yellow"/>
              </w:rPr>
              <w:t xml:space="preserve"> Ustawy deweloperskiej,</w:t>
            </w:r>
          </w:p>
          <w:p w14:paraId="61601483" w14:textId="77777777" w:rsidR="00B733A1" w:rsidRPr="00A5797E" w:rsidRDefault="00B733A1" w:rsidP="003601C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Deweloper wykonał w terminie obowiązek przekazania do Ewidencji DFG danych i informacji o których mowa w art. 51 ust. 1 pkt 3 Ustawy deweloperskiej;</w:t>
            </w:r>
          </w:p>
          <w:p w14:paraId="3DFFBEC1" w14:textId="77777777" w:rsidR="00B733A1" w:rsidRPr="00A5797E" w:rsidRDefault="00B733A1" w:rsidP="003601CB">
            <w:pPr>
              <w:widowControl/>
              <w:numPr>
                <w:ilvl w:val="0"/>
                <w:numId w:val="26"/>
              </w:numPr>
              <w:autoSpaceDE/>
              <w:autoSpaceDN/>
              <w:spacing w:line="276" w:lineRule="auto"/>
              <w:ind w:left="679" w:right="207" w:hanging="284"/>
              <w:jc w:val="both"/>
              <w:rPr>
                <w:sz w:val="20"/>
                <w:szCs w:val="20"/>
                <w:highlight w:val="yellow"/>
              </w:rPr>
            </w:pPr>
            <w:r w:rsidRPr="00A5797E">
              <w:rPr>
                <w:sz w:val="20"/>
                <w:szCs w:val="20"/>
                <w:highlight w:val="yellow"/>
              </w:rPr>
              <w:t xml:space="preserve">ustalenie przez wyznaczoną przez Bank osobę posiadającą odpowiednie uprawnienia budowlane, czy deweloper zakończył określony w </w:t>
            </w:r>
            <w:r w:rsidRPr="00A5797E">
              <w:rPr>
                <w:sz w:val="20"/>
                <w:szCs w:val="20"/>
                <w:highlight w:val="yellow"/>
              </w:rPr>
              <w:lastRenderedPageBreak/>
              <w:t xml:space="preserve">harmonogramie etap realizacji przedsięwzięcia deweloperskiego lub zadania inwestycyjnego, polegające w szczególności na sprawdzeniu: </w:t>
            </w:r>
          </w:p>
          <w:p w14:paraId="1745D1CD" w14:textId="77777777" w:rsidR="00B733A1" w:rsidRPr="00A5797E" w:rsidRDefault="00B733A1" w:rsidP="003601CB">
            <w:pPr>
              <w:widowControl/>
              <w:numPr>
                <w:ilvl w:val="0"/>
                <w:numId w:val="27"/>
              </w:numPr>
              <w:autoSpaceDE/>
              <w:autoSpaceDN/>
              <w:spacing w:line="276" w:lineRule="auto"/>
              <w:ind w:left="820" w:hanging="141"/>
              <w:jc w:val="both"/>
              <w:rPr>
                <w:sz w:val="20"/>
                <w:szCs w:val="20"/>
                <w:highlight w:val="yellow"/>
              </w:rPr>
            </w:pPr>
            <w:r w:rsidRPr="00A5797E">
              <w:rPr>
                <w:sz w:val="20"/>
                <w:szCs w:val="20"/>
                <w:highlight w:val="yellow"/>
              </w:rPr>
              <w:t xml:space="preserve">wpisu kierownika budowy w dzienniku budowy, </w:t>
            </w:r>
          </w:p>
          <w:p w14:paraId="6C8E5739" w14:textId="77777777" w:rsidR="00B733A1" w:rsidRPr="00A5797E" w:rsidRDefault="00B733A1" w:rsidP="003601C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 xml:space="preserve">udokumentowania faktycznego zaawansowania robót budowlanych na poziomie wymaganym dla kontrolowanego etapu, </w:t>
            </w:r>
          </w:p>
          <w:p w14:paraId="2BB516ED" w14:textId="77777777" w:rsidR="00B733A1" w:rsidRPr="00A5797E" w:rsidRDefault="00B733A1" w:rsidP="003601C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A5797E" w:rsidRDefault="00B733A1" w:rsidP="003601C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uzyskania decyzji o pozwoleniu na użytkowanie albo dokonania zawiadomienia o zakończeniu budowy -  w przypadku zakończenia robót budowlanych.</w:t>
            </w:r>
          </w:p>
          <w:p w14:paraId="12E37B8E"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wstrzymuje wypłatę środków z OMRP i wyznacza Deweloperowi termin na usunięcie nieprawidłowości w przypadku:</w:t>
            </w:r>
          </w:p>
          <w:p w14:paraId="10BD0F54" w14:textId="77777777" w:rsidR="00B733A1" w:rsidRPr="00A5797E" w:rsidRDefault="00B733A1" w:rsidP="003601CB">
            <w:pPr>
              <w:widowControl/>
              <w:numPr>
                <w:ilvl w:val="0"/>
                <w:numId w:val="28"/>
              </w:numPr>
              <w:autoSpaceDE/>
              <w:autoSpaceDN/>
              <w:spacing w:line="276" w:lineRule="auto"/>
              <w:ind w:left="679" w:right="207" w:hanging="283"/>
              <w:jc w:val="both"/>
              <w:rPr>
                <w:sz w:val="20"/>
                <w:szCs w:val="20"/>
                <w:highlight w:val="yellow"/>
              </w:rPr>
            </w:pPr>
            <w:bookmarkStart w:id="6" w:name="mip59469179"/>
            <w:bookmarkEnd w:id="6"/>
            <w:r w:rsidRPr="00A5797E">
              <w:rPr>
                <w:sz w:val="20"/>
                <w:szCs w:val="20"/>
                <w:highlight w:val="yellow"/>
              </w:rPr>
              <w:t>negatywnej oceny jednego z elementów określonych w pkt 1) lit. a, c-e oraz h lub pkt 2) powyżej;</w:t>
            </w:r>
          </w:p>
          <w:p w14:paraId="4001BBCB" w14:textId="77777777" w:rsidR="00B733A1" w:rsidRPr="00A5797E" w:rsidRDefault="00B733A1" w:rsidP="003601CB">
            <w:pPr>
              <w:widowControl/>
              <w:numPr>
                <w:ilvl w:val="0"/>
                <w:numId w:val="28"/>
              </w:numPr>
              <w:autoSpaceDE/>
              <w:autoSpaceDN/>
              <w:spacing w:line="276" w:lineRule="auto"/>
              <w:ind w:left="679" w:right="207" w:hanging="283"/>
              <w:jc w:val="both"/>
              <w:rPr>
                <w:sz w:val="20"/>
                <w:szCs w:val="20"/>
                <w:highlight w:val="yellow"/>
              </w:rPr>
            </w:pPr>
            <w:bookmarkStart w:id="7" w:name="mip59469180"/>
            <w:bookmarkEnd w:id="7"/>
            <w:r w:rsidRPr="00A5797E">
              <w:rPr>
                <w:sz w:val="20"/>
                <w:szCs w:val="20"/>
                <w:highlight w:val="yellow"/>
              </w:rPr>
              <w:t>braku oświadczeń Dewelopera, na podstawie których są wykonywane czynności kontrolne, o których mowa w pkt 1) lit. f, g, i, j powyżej;</w:t>
            </w:r>
            <w:bookmarkStart w:id="8" w:name="mip59469181"/>
            <w:bookmarkEnd w:id="8"/>
          </w:p>
          <w:p w14:paraId="1D8E3004" w14:textId="77777777" w:rsidR="00B733A1" w:rsidRPr="00A5797E" w:rsidRDefault="00B733A1" w:rsidP="003601CB">
            <w:pPr>
              <w:widowControl/>
              <w:numPr>
                <w:ilvl w:val="0"/>
                <w:numId w:val="28"/>
              </w:numPr>
              <w:autoSpaceDE/>
              <w:autoSpaceDN/>
              <w:spacing w:line="276" w:lineRule="auto"/>
              <w:ind w:left="679" w:right="207" w:hanging="283"/>
              <w:jc w:val="both"/>
              <w:rPr>
                <w:sz w:val="20"/>
                <w:szCs w:val="20"/>
                <w:highlight w:val="yellow"/>
              </w:rPr>
            </w:pPr>
            <w:r w:rsidRPr="00A5797E">
              <w:rPr>
                <w:sz w:val="20"/>
                <w:szCs w:val="20"/>
                <w:highlight w:val="yellow"/>
              </w:rPr>
              <w:t>wszczęcia wobec Dewelopera postępowania restrukturyzacyjnego albo upadłościowego;</w:t>
            </w:r>
          </w:p>
          <w:p w14:paraId="72D4D80D"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Deweloper nie wykonał w terminie obowiązku przekazania do Ewidencji DFG danych i informacji, o których mowa w pkt 1) lit. k powyżej Bank wstrzymuje wypłatę środków  do czasu przekazania danych do Ewidencji DFG;</w:t>
            </w:r>
          </w:p>
          <w:p w14:paraId="6A715951"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wypłaca Deweloperowi środki z OMRP wyłącznie po usunięciu nieprawidłowości wskazanych powyżej;</w:t>
            </w:r>
          </w:p>
          <w:p w14:paraId="197C562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lastRenderedPageBreak/>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9" w:name="_Hlk105031205"/>
            <w:r w:rsidRPr="00A5797E">
              <w:rPr>
                <w:sz w:val="20"/>
                <w:szCs w:val="20"/>
                <w:highlight w:val="yellow"/>
              </w:rPr>
              <w:t xml:space="preserve">po zweryfikowaniu tego stanu na podstawie analizy działu III i IV księgi wieczystej prowadzonej dla przedmiotu nabycia w systemie informatycznym </w:t>
            </w:r>
            <w:proofErr w:type="spellStart"/>
            <w:r w:rsidRPr="00A5797E">
              <w:rPr>
                <w:sz w:val="20"/>
                <w:szCs w:val="20"/>
                <w:highlight w:val="yellow"/>
              </w:rPr>
              <w:t>eKW</w:t>
            </w:r>
            <w:bookmarkEnd w:id="9"/>
            <w:proofErr w:type="spellEnd"/>
            <w:r w:rsidRPr="00A5797E">
              <w:rPr>
                <w:sz w:val="20"/>
                <w:szCs w:val="20"/>
                <w:highlight w:val="yellow"/>
              </w:rPr>
              <w:t>;</w:t>
            </w:r>
          </w:p>
          <w:p w14:paraId="24DBA518"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w</w:t>
            </w:r>
            <w:r w:rsidRPr="00A5797E">
              <w:rPr>
                <w:sz w:val="20"/>
                <w:szCs w:val="20"/>
                <w:highlight w:val="yellow"/>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zobowiązuje się dysponować środkami wypłacanymi z OMPR wyłącznie w celu finansowania lub refinansowania przedsięwzięcia deweloperskiego, dla którego jest prowadzony OMRP;</w:t>
            </w:r>
          </w:p>
          <w:p w14:paraId="13B508FD"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Oświadczenie woli  o odstąpieniu od umowy deweloperskiej jest skuteczne, jeżeli zawiera zgodę na wykreślenie z księgi wieczystej roszczeń, o których mowa w </w:t>
            </w:r>
            <w:hyperlink r:id="rId15" w:history="1">
              <w:r w:rsidRPr="00A5797E">
                <w:rPr>
                  <w:sz w:val="20"/>
                  <w:szCs w:val="20"/>
                  <w:highlight w:val="yellow"/>
                </w:rPr>
                <w:t>art. 38 ust. 2</w:t>
              </w:r>
            </w:hyperlink>
            <w:r w:rsidRPr="00A5797E">
              <w:rPr>
                <w:sz w:val="20"/>
                <w:szCs w:val="20"/>
                <w:highlight w:val="yellow"/>
              </w:rPr>
              <w:t xml:space="preserve"> Ustawy deweloperskiej i jest złożone w formie pisemnej z podpisami notarialnie poświadczonymi;</w:t>
            </w:r>
          </w:p>
          <w:p w14:paraId="193C689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10" w:name="_Hlk104200869"/>
          </w:p>
          <w:p w14:paraId="3D85A90C"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lastRenderedPageBreak/>
              <w:t>Deweloper zobowiązany jest do dokonywania rozliczeń z podwykonawcami przedsięwzięcia deweloperskiego, zgodnie z łączącymi go umowami z podwykonawcami;</w:t>
            </w:r>
          </w:p>
          <w:p w14:paraId="35729211"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Umowa OMRP zawarta jest na czas oznaczony, tj. do  dnia, w którym nastąpi przeniesienie praw z ostatniej umowy deweloperskiej ramach  przedsięwzięcia deweloperskiego;</w:t>
            </w:r>
          </w:p>
          <w:p w14:paraId="075A6DFF"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zamknięcie OMPR następuje na wniosek Dewelopera, jednak nie wcześniej niż do czasu rozliczenia ostatniego rachunku nabywcy, tj. przejścia całej kwoty należnej Deweloperowi przez OMRP;</w:t>
            </w:r>
          </w:p>
          <w:p w14:paraId="333A7E9E"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A5797E" w:rsidRDefault="00B733A1" w:rsidP="003601C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niedopełnienie przez Dewelopera obowiązków wynikających z Umowy;</w:t>
            </w:r>
          </w:p>
          <w:p w14:paraId="4CB41634" w14:textId="77777777" w:rsidR="00B733A1" w:rsidRPr="00A5797E" w:rsidRDefault="00B733A1" w:rsidP="003601C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podanie przez Dewelopera nieprawdziwych informacji przy zawieraniu Umowy OMRP lub umowy o prowadzenie rachunku bieżącego;</w:t>
            </w:r>
          </w:p>
          <w:p w14:paraId="33C4A700" w14:textId="77777777" w:rsidR="00B733A1" w:rsidRPr="00A5797E" w:rsidRDefault="00B733A1" w:rsidP="003601C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nieterminowe realizowanie zobowiązań kredytowych wobec Banku przez Dewelopera;</w:t>
            </w:r>
          </w:p>
          <w:p w14:paraId="1A478A3D" w14:textId="77777777" w:rsidR="00B733A1" w:rsidRPr="00A5797E" w:rsidRDefault="00B733A1" w:rsidP="003601C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nieuiszczenie należnej Bankowi opłat przez okres co najmniej dwóch kolejnych miesięcy;</w:t>
            </w:r>
          </w:p>
          <w:p w14:paraId="458EF477" w14:textId="77777777" w:rsidR="00B733A1" w:rsidRPr="00A5797E" w:rsidRDefault="00B733A1" w:rsidP="003601C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uzyskania przez Bank informacji uzasadniających podejrzenie popełnienia przestępstwa przez Dewelopera, w tym przestępstwa z wykorzystaniem rachunku lub przestępstwa na szkodę Banku;</w:t>
            </w:r>
          </w:p>
          <w:p w14:paraId="18455CD0"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informuje nabywcę na papierze lub innym trwałym nośniku o terminie, w którym wypowiedział Umowę OMRP, w terminie 10 dni od dnia jej wypowiedzenia;</w:t>
            </w:r>
          </w:p>
          <w:bookmarkEnd w:id="10"/>
          <w:p w14:paraId="38065A66"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66C6D5CA"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A5797E" w:rsidRDefault="00B733A1" w:rsidP="003601C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A5797E">
              <w:rPr>
                <w:sz w:val="20"/>
                <w:szCs w:val="20"/>
                <w:highlight w:val="yellow"/>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lastRenderedPageBreak/>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1</w:t>
            </w:r>
            <w:r w:rsidRPr="00AA72B4">
              <w:rPr>
                <w:sz w:val="20"/>
                <w:szCs w:val="20"/>
                <w:lang w:eastAsia="pl-PL"/>
              </w:rPr>
              <w:t xml:space="preserve"> –</w:t>
            </w:r>
            <w:r w:rsidRPr="00AA72B4">
              <w:rPr>
                <w:color w:val="222222"/>
                <w:sz w:val="20"/>
                <w:szCs w:val="20"/>
                <w:shd w:val="clear" w:color="auto" w:fill="FFFFFF"/>
              </w:rPr>
              <w:t xml:space="preserve"> fundamenty, roboty ziemne</w:t>
            </w:r>
            <w:r>
              <w:rPr>
                <w:color w:val="222222"/>
                <w:sz w:val="20"/>
                <w:szCs w:val="20"/>
                <w:shd w:val="clear" w:color="auto" w:fill="FFFFFF"/>
              </w:rPr>
              <w:t>,</w:t>
            </w:r>
            <w:r w:rsidRPr="00AA72B4">
              <w:rPr>
                <w:color w:val="222222"/>
                <w:sz w:val="20"/>
                <w:szCs w:val="20"/>
                <w:shd w:val="clear" w:color="auto" w:fill="FFFFFF"/>
              </w:rPr>
              <w:t xml:space="preserve"> dokumentacja projektowa i pozostała, </w:t>
            </w:r>
            <w:r>
              <w:rPr>
                <w:color w:val="222222"/>
                <w:sz w:val="20"/>
                <w:szCs w:val="20"/>
                <w:shd w:val="clear" w:color="auto" w:fill="FFFFFF"/>
              </w:rPr>
              <w:t>podłączenie pr</w:t>
            </w:r>
            <w:r w:rsidRPr="00AA72B4">
              <w:rPr>
                <w:color w:val="222222"/>
                <w:sz w:val="20"/>
                <w:szCs w:val="20"/>
                <w:shd w:val="clear" w:color="auto" w:fill="FFFFFF"/>
              </w:rPr>
              <w:t xml:space="preserve">ądu </w:t>
            </w:r>
            <w:r>
              <w:rPr>
                <w:color w:val="222222"/>
                <w:sz w:val="20"/>
                <w:szCs w:val="20"/>
                <w:shd w:val="clear" w:color="auto" w:fill="FFFFFF"/>
              </w:rPr>
              <w:t xml:space="preserve">docelowego budowalnego </w:t>
            </w:r>
            <w:r w:rsidRPr="00AA72B4">
              <w:rPr>
                <w:sz w:val="20"/>
                <w:szCs w:val="20"/>
                <w:lang w:eastAsia="pl-PL"/>
              </w:rPr>
              <w:t xml:space="preserve">– 20,00% (słownie: dwadzieścia procent) kosztów całkowitych Przedsięwzięcia Deweloperskiego – </w:t>
            </w:r>
            <w:r w:rsidRPr="00AA72B4">
              <w:rPr>
                <w:sz w:val="20"/>
                <w:szCs w:val="20"/>
                <w:u w:val="single"/>
                <w:lang w:eastAsia="pl-PL"/>
              </w:rPr>
              <w:t>termin zakończenia do dnia – </w:t>
            </w:r>
            <w:r>
              <w:rPr>
                <w:b/>
                <w:bCs/>
                <w:sz w:val="20"/>
                <w:szCs w:val="20"/>
                <w:u w:val="single"/>
                <w:lang w:eastAsia="pl-PL"/>
              </w:rPr>
              <w:t>29.06.2026</w:t>
            </w:r>
            <w:r w:rsidRPr="00AA72B4">
              <w:rPr>
                <w:b/>
                <w:bCs/>
                <w:sz w:val="20"/>
                <w:szCs w:val="20"/>
                <w:u w:val="single"/>
                <w:lang w:eastAsia="pl-PL"/>
              </w:rPr>
              <w:t xml:space="preserve"> r.</w:t>
            </w:r>
          </w:p>
          <w:p w14:paraId="0A96F7A7" w14:textId="77777777" w:rsidR="00B733A1" w:rsidRPr="00AA72B4" w:rsidRDefault="00B733A1" w:rsidP="003601CB">
            <w:pPr>
              <w:widowControl/>
              <w:autoSpaceDE/>
              <w:autoSpaceDN/>
              <w:ind w:left="112" w:right="207"/>
              <w:jc w:val="both"/>
              <w:rPr>
                <w:sz w:val="20"/>
                <w:szCs w:val="20"/>
                <w:lang w:eastAsia="pl-PL"/>
              </w:rPr>
            </w:pPr>
            <w:r w:rsidRPr="00AA72B4">
              <w:rPr>
                <w:sz w:val="20"/>
                <w:szCs w:val="20"/>
                <w:lang w:eastAsia="pl-PL"/>
              </w:rPr>
              <w:t> </w:t>
            </w:r>
          </w:p>
          <w:p w14:paraId="5CA782DB"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2</w:t>
            </w:r>
            <w:r w:rsidRPr="00AA72B4">
              <w:rPr>
                <w:sz w:val="20"/>
                <w:szCs w:val="20"/>
                <w:lang w:eastAsia="pl-PL"/>
              </w:rPr>
              <w:t xml:space="preserve"> – </w:t>
            </w:r>
            <w:r>
              <w:rPr>
                <w:color w:val="222222"/>
                <w:sz w:val="20"/>
                <w:szCs w:val="20"/>
                <w:shd w:val="clear" w:color="auto" w:fill="FFFFFF"/>
              </w:rPr>
              <w:t xml:space="preserve">ściany, </w:t>
            </w:r>
            <w:r w:rsidRPr="00AA72B4">
              <w:rPr>
                <w:color w:val="222222"/>
                <w:sz w:val="20"/>
                <w:szCs w:val="20"/>
                <w:shd w:val="clear" w:color="auto" w:fill="FFFFFF"/>
              </w:rPr>
              <w:t>schody betonowe, strop żelbetowy</w:t>
            </w:r>
            <w:r>
              <w:rPr>
                <w:color w:val="222222"/>
                <w:sz w:val="20"/>
                <w:szCs w:val="20"/>
                <w:shd w:val="clear" w:color="auto" w:fill="FFFFFF"/>
              </w:rPr>
              <w:t xml:space="preserve"> </w:t>
            </w:r>
            <w:r w:rsidRPr="00AA72B4">
              <w:rPr>
                <w:sz w:val="20"/>
                <w:szCs w:val="20"/>
                <w:lang w:eastAsia="pl-PL"/>
              </w:rPr>
              <w:t xml:space="preserve">– 20,00% (słownie: dwadzieścia procent) kosztów całkowitych Przedsięwzięcia Deweloperskiego – </w:t>
            </w:r>
            <w:r w:rsidRPr="00AA72B4">
              <w:rPr>
                <w:sz w:val="20"/>
                <w:szCs w:val="20"/>
                <w:u w:val="single"/>
                <w:lang w:eastAsia="pl-PL"/>
              </w:rPr>
              <w:t>termin zakończenia do dnia </w:t>
            </w:r>
            <w:r>
              <w:rPr>
                <w:b/>
                <w:bCs/>
                <w:sz w:val="20"/>
                <w:szCs w:val="20"/>
                <w:u w:val="single"/>
                <w:lang w:eastAsia="pl-PL"/>
              </w:rPr>
              <w:t>15.08.2026</w:t>
            </w:r>
            <w:r w:rsidRPr="00AA72B4">
              <w:rPr>
                <w:b/>
                <w:bCs/>
                <w:sz w:val="20"/>
                <w:szCs w:val="20"/>
                <w:u w:val="single"/>
                <w:lang w:eastAsia="pl-PL"/>
              </w:rPr>
              <w:t xml:space="preserve"> r.</w:t>
            </w:r>
          </w:p>
          <w:p w14:paraId="2153E673" w14:textId="77777777" w:rsidR="00B733A1" w:rsidRPr="00AA72B4" w:rsidRDefault="00B733A1" w:rsidP="003601CB">
            <w:pPr>
              <w:widowControl/>
              <w:autoSpaceDE/>
              <w:autoSpaceDN/>
              <w:ind w:left="112" w:right="207"/>
              <w:jc w:val="both"/>
              <w:rPr>
                <w:sz w:val="20"/>
                <w:szCs w:val="20"/>
                <w:lang w:eastAsia="pl-PL"/>
              </w:rPr>
            </w:pPr>
            <w:r w:rsidRPr="00AA72B4">
              <w:rPr>
                <w:sz w:val="20"/>
                <w:szCs w:val="20"/>
                <w:lang w:eastAsia="pl-PL"/>
              </w:rPr>
              <w:t> </w:t>
            </w:r>
          </w:p>
          <w:p w14:paraId="2ABC89EB"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3</w:t>
            </w:r>
            <w:r w:rsidRPr="00AA72B4">
              <w:rPr>
                <w:sz w:val="20"/>
                <w:szCs w:val="20"/>
                <w:lang w:eastAsia="pl-PL"/>
              </w:rPr>
              <w:t xml:space="preserve"> –</w:t>
            </w:r>
            <w:r>
              <w:rPr>
                <w:sz w:val="20"/>
                <w:szCs w:val="20"/>
                <w:lang w:eastAsia="pl-PL"/>
              </w:rPr>
              <w:t xml:space="preserve"> ściany działowe, rozprowadzenie elektryki, </w:t>
            </w:r>
            <w:r w:rsidRPr="00AA72B4">
              <w:rPr>
                <w:sz w:val="20"/>
                <w:szCs w:val="20"/>
                <w:lang w:eastAsia="pl-PL"/>
              </w:rPr>
              <w:t xml:space="preserve">dach wraz z obróbkami – 20,00% (słownie: dwadzieścia procent) kosztów całkowitych Przedsięwzięcia Deweloperskiego – </w:t>
            </w:r>
            <w:r w:rsidRPr="00AA72B4">
              <w:rPr>
                <w:sz w:val="20"/>
                <w:szCs w:val="20"/>
                <w:u w:val="single"/>
                <w:lang w:eastAsia="pl-PL"/>
              </w:rPr>
              <w:t>termin zakończenia do dnia</w:t>
            </w:r>
            <w:r w:rsidRPr="00AA72B4">
              <w:rPr>
                <w:b/>
                <w:bCs/>
                <w:sz w:val="20"/>
                <w:szCs w:val="20"/>
                <w:u w:val="single"/>
                <w:lang w:eastAsia="pl-PL"/>
              </w:rPr>
              <w:t> </w:t>
            </w:r>
            <w:r>
              <w:rPr>
                <w:b/>
                <w:bCs/>
                <w:sz w:val="20"/>
                <w:szCs w:val="20"/>
                <w:u w:val="single"/>
                <w:lang w:eastAsia="pl-PL"/>
              </w:rPr>
              <w:t>28.09.2026</w:t>
            </w:r>
            <w:r w:rsidRPr="00AA72B4">
              <w:rPr>
                <w:b/>
                <w:bCs/>
                <w:sz w:val="20"/>
                <w:szCs w:val="20"/>
                <w:u w:val="single"/>
                <w:lang w:eastAsia="pl-PL"/>
              </w:rPr>
              <w:t xml:space="preserve"> r.</w:t>
            </w:r>
          </w:p>
          <w:p w14:paraId="1E03C26E" w14:textId="77777777" w:rsidR="00B733A1" w:rsidRPr="00AA72B4" w:rsidRDefault="00B733A1" w:rsidP="003601CB">
            <w:pPr>
              <w:widowControl/>
              <w:autoSpaceDE/>
              <w:autoSpaceDN/>
              <w:ind w:left="112" w:right="207"/>
              <w:jc w:val="both"/>
              <w:rPr>
                <w:sz w:val="20"/>
                <w:szCs w:val="20"/>
                <w:lang w:eastAsia="pl-PL"/>
              </w:rPr>
            </w:pPr>
            <w:r w:rsidRPr="00AA72B4">
              <w:rPr>
                <w:sz w:val="20"/>
                <w:szCs w:val="20"/>
                <w:lang w:eastAsia="pl-PL"/>
              </w:rPr>
              <w:t> </w:t>
            </w:r>
          </w:p>
          <w:p w14:paraId="1146C96F"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4</w:t>
            </w:r>
            <w:r w:rsidRPr="00AA72B4">
              <w:rPr>
                <w:sz w:val="20"/>
                <w:szCs w:val="20"/>
                <w:lang w:eastAsia="pl-PL"/>
              </w:rPr>
              <w:t xml:space="preserve"> –</w:t>
            </w:r>
            <w:r>
              <w:rPr>
                <w:color w:val="222222"/>
                <w:sz w:val="20"/>
                <w:szCs w:val="20"/>
                <w:shd w:val="clear" w:color="auto" w:fill="FFFFFF"/>
              </w:rPr>
              <w:t xml:space="preserve"> rozprowadzenie instalacji ogrzewania podłogowego,</w:t>
            </w:r>
            <w:r w:rsidRPr="00AA72B4">
              <w:rPr>
                <w:color w:val="222222"/>
                <w:sz w:val="20"/>
                <w:szCs w:val="20"/>
                <w:shd w:val="clear" w:color="auto" w:fill="FFFFFF"/>
              </w:rPr>
              <w:t xml:space="preserve"> tynki, wylewki podłogowe</w:t>
            </w:r>
            <w:r>
              <w:rPr>
                <w:color w:val="222222"/>
                <w:sz w:val="20"/>
                <w:szCs w:val="20"/>
                <w:shd w:val="clear" w:color="auto" w:fill="FFFFFF"/>
              </w:rPr>
              <w:t>, elewacja z cegły ręcznie formowanej</w:t>
            </w:r>
            <w:r w:rsidRPr="00AA72B4">
              <w:rPr>
                <w:sz w:val="20"/>
                <w:szCs w:val="20"/>
                <w:lang w:eastAsia="pl-PL"/>
              </w:rPr>
              <w:t xml:space="preserve"> – 15,00% (słownie: piętnaście procent) kosztów całkowitych Przedsięwzięcia Deweloperskiego – </w:t>
            </w:r>
            <w:r w:rsidRPr="00AA72B4">
              <w:rPr>
                <w:sz w:val="20"/>
                <w:szCs w:val="20"/>
                <w:u w:val="single"/>
                <w:lang w:eastAsia="pl-PL"/>
              </w:rPr>
              <w:t>termin zakończenia do dnia </w:t>
            </w:r>
            <w:r>
              <w:rPr>
                <w:b/>
                <w:bCs/>
                <w:sz w:val="20"/>
                <w:szCs w:val="20"/>
                <w:u w:val="single"/>
                <w:lang w:eastAsia="pl-PL"/>
              </w:rPr>
              <w:t>30.10.2026</w:t>
            </w:r>
            <w:r w:rsidRPr="00AA72B4">
              <w:rPr>
                <w:b/>
                <w:bCs/>
                <w:sz w:val="20"/>
                <w:szCs w:val="20"/>
                <w:u w:val="single"/>
                <w:lang w:eastAsia="pl-PL"/>
              </w:rPr>
              <w:t xml:space="preserve"> r</w:t>
            </w:r>
          </w:p>
          <w:p w14:paraId="63AA6823" w14:textId="77777777" w:rsidR="00B733A1" w:rsidRPr="00AA72B4" w:rsidRDefault="00B733A1" w:rsidP="003601CB">
            <w:pPr>
              <w:widowControl/>
              <w:autoSpaceDE/>
              <w:autoSpaceDN/>
              <w:ind w:left="112" w:right="207"/>
              <w:jc w:val="both"/>
              <w:rPr>
                <w:sz w:val="20"/>
                <w:szCs w:val="20"/>
                <w:lang w:eastAsia="pl-PL"/>
              </w:rPr>
            </w:pPr>
            <w:r w:rsidRPr="00AA72B4">
              <w:rPr>
                <w:sz w:val="20"/>
                <w:szCs w:val="20"/>
                <w:lang w:eastAsia="pl-PL"/>
              </w:rPr>
              <w:t> </w:t>
            </w:r>
          </w:p>
          <w:p w14:paraId="1B69E521"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5</w:t>
            </w:r>
            <w:r w:rsidRPr="00AA72B4">
              <w:rPr>
                <w:sz w:val="20"/>
                <w:szCs w:val="20"/>
                <w:lang w:eastAsia="pl-PL"/>
              </w:rPr>
              <w:t xml:space="preserve"> –</w:t>
            </w:r>
            <w:r>
              <w:rPr>
                <w:color w:val="222222"/>
                <w:sz w:val="20"/>
                <w:szCs w:val="20"/>
                <w:shd w:val="clear" w:color="auto" w:fill="FFFFFF"/>
              </w:rPr>
              <w:t xml:space="preserve"> instalacja grzewcza, przyłącza </w:t>
            </w:r>
            <w:proofErr w:type="spellStart"/>
            <w:r>
              <w:rPr>
                <w:color w:val="222222"/>
                <w:sz w:val="20"/>
                <w:szCs w:val="20"/>
                <w:shd w:val="clear" w:color="auto" w:fill="FFFFFF"/>
              </w:rPr>
              <w:t>wod</w:t>
            </w:r>
            <w:proofErr w:type="spellEnd"/>
            <w:r>
              <w:rPr>
                <w:color w:val="222222"/>
                <w:sz w:val="20"/>
                <w:szCs w:val="20"/>
                <w:shd w:val="clear" w:color="auto" w:fill="FFFFFF"/>
              </w:rPr>
              <w:t xml:space="preserve">-kan., </w:t>
            </w:r>
            <w:r w:rsidRPr="005138BF">
              <w:rPr>
                <w:color w:val="222222"/>
                <w:sz w:val="20"/>
                <w:szCs w:val="20"/>
                <w:shd w:val="clear" w:color="auto" w:fill="FFFFFF"/>
              </w:rPr>
              <w:t>światłowodu</w:t>
            </w:r>
            <w:r>
              <w:rPr>
                <w:color w:val="222222"/>
                <w:sz w:val="20"/>
                <w:szCs w:val="20"/>
                <w:shd w:val="clear" w:color="auto" w:fill="FFFFFF"/>
              </w:rPr>
              <w:t>, stolarka drzwiowa i okienna</w:t>
            </w:r>
            <w:r w:rsidRPr="00AA72B4">
              <w:rPr>
                <w:color w:val="222222"/>
                <w:sz w:val="20"/>
                <w:szCs w:val="20"/>
                <w:shd w:val="clear" w:color="auto" w:fill="FFFFFF"/>
              </w:rPr>
              <w:t xml:space="preserve"> </w:t>
            </w:r>
            <w:r w:rsidRPr="00AA72B4">
              <w:rPr>
                <w:sz w:val="20"/>
                <w:szCs w:val="20"/>
                <w:lang w:eastAsia="pl-PL"/>
              </w:rPr>
              <w:t xml:space="preserve"> – 15,00% (słownie: piętnaście procent) kosztów całkowitych Przedsięwzięcia Deweloperskiego – </w:t>
            </w:r>
            <w:r w:rsidRPr="00AA72B4">
              <w:rPr>
                <w:sz w:val="20"/>
                <w:szCs w:val="20"/>
                <w:u w:val="single"/>
                <w:lang w:eastAsia="pl-PL"/>
              </w:rPr>
              <w:t>termin zakończenia do dnia </w:t>
            </w:r>
            <w:r>
              <w:rPr>
                <w:b/>
                <w:bCs/>
                <w:sz w:val="20"/>
                <w:szCs w:val="20"/>
                <w:u w:val="single"/>
                <w:lang w:eastAsia="pl-PL"/>
              </w:rPr>
              <w:t>30.11.2026</w:t>
            </w:r>
            <w:r w:rsidRPr="00AA72B4">
              <w:rPr>
                <w:b/>
                <w:bCs/>
                <w:sz w:val="20"/>
                <w:szCs w:val="20"/>
                <w:u w:val="single"/>
                <w:lang w:eastAsia="pl-PL"/>
              </w:rPr>
              <w:t xml:space="preserve"> r.</w:t>
            </w:r>
            <w:r w:rsidRPr="00AA72B4">
              <w:rPr>
                <w:b/>
                <w:bCs/>
                <w:sz w:val="20"/>
                <w:szCs w:val="20"/>
                <w:lang w:eastAsia="pl-PL"/>
              </w:rPr>
              <w:t> </w:t>
            </w:r>
          </w:p>
          <w:p w14:paraId="4887D15E" w14:textId="77777777" w:rsidR="00B733A1" w:rsidRPr="00AA72B4" w:rsidRDefault="00B733A1" w:rsidP="003601CB">
            <w:pPr>
              <w:widowControl/>
              <w:autoSpaceDE/>
              <w:autoSpaceDN/>
              <w:ind w:left="112" w:right="207"/>
              <w:jc w:val="both"/>
              <w:rPr>
                <w:sz w:val="20"/>
                <w:szCs w:val="20"/>
                <w:lang w:eastAsia="pl-PL"/>
              </w:rPr>
            </w:pPr>
            <w:r w:rsidRPr="00AA72B4">
              <w:rPr>
                <w:sz w:val="20"/>
                <w:szCs w:val="20"/>
                <w:lang w:eastAsia="pl-PL"/>
              </w:rPr>
              <w:t> </w:t>
            </w:r>
          </w:p>
          <w:p w14:paraId="1D77EDB3" w14:textId="77777777" w:rsidR="00B733A1" w:rsidRPr="00AA72B4" w:rsidRDefault="00B733A1" w:rsidP="003601CB">
            <w:pPr>
              <w:widowControl/>
              <w:autoSpaceDE/>
              <w:autoSpaceDN/>
              <w:ind w:left="112" w:right="207"/>
              <w:jc w:val="both"/>
              <w:rPr>
                <w:sz w:val="20"/>
                <w:szCs w:val="20"/>
                <w:lang w:eastAsia="pl-PL"/>
              </w:rPr>
            </w:pPr>
            <w:r w:rsidRPr="00AA72B4">
              <w:rPr>
                <w:b/>
                <w:sz w:val="20"/>
                <w:szCs w:val="20"/>
                <w:lang w:eastAsia="pl-PL"/>
              </w:rPr>
              <w:t>ETAP 6</w:t>
            </w:r>
            <w:r w:rsidRPr="00AA72B4">
              <w:rPr>
                <w:sz w:val="20"/>
                <w:szCs w:val="20"/>
                <w:lang w:eastAsia="pl-PL"/>
              </w:rPr>
              <w:t xml:space="preserve"> –</w:t>
            </w:r>
            <w:r w:rsidRPr="00AA72B4">
              <w:rPr>
                <w:color w:val="222222"/>
                <w:sz w:val="20"/>
                <w:szCs w:val="20"/>
                <w:shd w:val="clear" w:color="auto" w:fill="FFFFFF"/>
              </w:rPr>
              <w:t xml:space="preserve"> ocieplenie poddasza, płyty G-K, utwardzenie parkingów, ogrodzenie, sadzenie zieleni, oświetlenie zewn., uzyskanie ostatecznego pozwolenia na użytkowanie</w:t>
            </w:r>
            <w:r w:rsidRPr="00AA72B4">
              <w:rPr>
                <w:sz w:val="20"/>
                <w:szCs w:val="20"/>
                <w:lang w:eastAsia="pl-PL"/>
              </w:rPr>
              <w:t xml:space="preserve"> – 10,00% (słownie: dziesięć procent) kosztów całkowitych Przedsięwzięcia Deweloperskiego – </w:t>
            </w:r>
            <w:r w:rsidRPr="00AA72B4">
              <w:rPr>
                <w:sz w:val="20"/>
                <w:szCs w:val="20"/>
                <w:u w:val="single"/>
                <w:lang w:eastAsia="pl-PL"/>
              </w:rPr>
              <w:t>termin zakończenia do dnia </w:t>
            </w:r>
            <w:r>
              <w:rPr>
                <w:b/>
                <w:bCs/>
                <w:sz w:val="20"/>
                <w:szCs w:val="20"/>
                <w:u w:val="single"/>
                <w:lang w:eastAsia="pl-PL"/>
              </w:rPr>
              <w:t>10.09.2027</w:t>
            </w:r>
            <w:r w:rsidRPr="00AA72B4">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proofErr w:type="spellStart"/>
            <w:r w:rsidRPr="00AA72B4">
              <w:rPr>
                <w:sz w:val="20"/>
              </w:rPr>
              <w:t>dewelo</w:t>
            </w:r>
            <w:proofErr w:type="spellEnd"/>
            <w:r w:rsidRPr="00AA72B4">
              <w:rPr>
                <w:sz w:val="20"/>
              </w:rPr>
              <w:t xml:space="preserve">-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o zgodzie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w:t>
      </w:r>
      <w:r w:rsidRPr="00AA72B4">
        <w:rPr>
          <w:b/>
          <w:spacing w:val="2"/>
          <w:sz w:val="20"/>
        </w:rPr>
        <w:t xml:space="preserve">ceny </w:t>
      </w:r>
      <w:r w:rsidRPr="00AA72B4">
        <w:rPr>
          <w:b/>
          <w:sz w:val="20"/>
        </w:rPr>
        <w:t xml:space="preserve">przez nabywcę lub zobowiązanie do jej udzielenia,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zgodę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w:t>
      </w:r>
      <w:proofErr w:type="spellStart"/>
      <w:r w:rsidRPr="00AA72B4">
        <w:rPr>
          <w:sz w:val="20"/>
          <w:szCs w:val="20"/>
        </w:rPr>
        <w:t>architektoniczno</w:t>
      </w:r>
      <w:proofErr w:type="spellEnd"/>
      <w:r w:rsidRPr="00AA72B4">
        <w:rPr>
          <w:sz w:val="20"/>
          <w:szCs w:val="20"/>
        </w:rPr>
        <w:t xml:space="preserve">–budowlanym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proofErr w:type="spellStart"/>
      <w:r w:rsidRPr="00AA72B4">
        <w:rPr>
          <w:spacing w:val="2"/>
          <w:sz w:val="20"/>
        </w:rPr>
        <w:t>syste-</w:t>
      </w:r>
      <w:r w:rsidRPr="00AA72B4">
        <w:rPr>
          <w:sz w:val="20"/>
        </w:rPr>
        <w:t>mie</w:t>
      </w:r>
      <w:proofErr w:type="spellEnd"/>
      <w:r w:rsidRPr="00AA72B4">
        <w:rPr>
          <w:sz w:val="20"/>
        </w:rPr>
        <w:t xml:space="preserv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77777777" w:rsidR="00B733A1" w:rsidRPr="00AA72B4" w:rsidRDefault="00B733A1" w:rsidP="003601CB">
            <w:pPr>
              <w:pStyle w:val="TableParagraph"/>
              <w:ind w:left="246" w:right="201"/>
              <w:rPr>
                <w:sz w:val="20"/>
                <w:szCs w:val="20"/>
              </w:rPr>
            </w:pPr>
            <w:r w:rsidRPr="00AA72B4">
              <w:rPr>
                <w:sz w:val="20"/>
                <w:szCs w:val="20"/>
              </w:rPr>
              <w:t xml:space="preserve">Powierzchnia użytkowa lokalu mieszkalnego wynosi </w:t>
            </w:r>
            <w:r>
              <w:rPr>
                <w:b/>
                <w:sz w:val="20"/>
                <w:szCs w:val="20"/>
              </w:rPr>
              <w:t>…….</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77777777" w:rsidR="00B733A1" w:rsidRPr="00AA72B4" w:rsidRDefault="00B733A1" w:rsidP="003601CB">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Pr>
                <w:b/>
                <w:sz w:val="20"/>
                <w:szCs w:val="20"/>
              </w:rPr>
              <w:t>…..</w:t>
            </w:r>
            <w:r w:rsidRPr="00AA72B4">
              <w:rPr>
                <w:b/>
                <w:sz w:val="20"/>
                <w:szCs w:val="20"/>
              </w:rPr>
              <w:t xml:space="preserve"> w budynku nr </w:t>
            </w:r>
            <w:r>
              <w:rPr>
                <w:b/>
                <w:sz w:val="20"/>
                <w:szCs w:val="20"/>
              </w:rPr>
              <w:t>…</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Stolarka okienna i drzwi balkonowe </w:t>
            </w:r>
            <w:proofErr w:type="spellStart"/>
            <w:r w:rsidRPr="00FE0257">
              <w:rPr>
                <w:sz w:val="20"/>
                <w:szCs w:val="20"/>
              </w:rPr>
              <w:t>Drutex</w:t>
            </w:r>
            <w:proofErr w:type="spellEnd"/>
            <w:r w:rsidRPr="00FE0257">
              <w:rPr>
                <w:sz w:val="20"/>
                <w:szCs w:val="20"/>
              </w:rPr>
              <w:t xml:space="preserve">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173C4558" w14:textId="77777777" w:rsidR="00B733A1" w:rsidRPr="00FE0257" w:rsidRDefault="00B733A1" w:rsidP="003601CB">
            <w:pPr>
              <w:pStyle w:val="Akapitzlist"/>
              <w:numPr>
                <w:ilvl w:val="0"/>
                <w:numId w:val="46"/>
              </w:numPr>
              <w:ind w:right="201"/>
              <w:rPr>
                <w:sz w:val="20"/>
                <w:szCs w:val="20"/>
              </w:rPr>
            </w:pPr>
            <w:r w:rsidRPr="00FE0257">
              <w:rPr>
                <w:sz w:val="20"/>
                <w:szCs w:val="20"/>
              </w:rPr>
              <w:t>Trawa z rolki;</w:t>
            </w:r>
          </w:p>
          <w:p w14:paraId="7E3CF8C9" w14:textId="77777777" w:rsidR="00B733A1" w:rsidRPr="00DF1F6E" w:rsidRDefault="00B733A1" w:rsidP="003601CB">
            <w:pPr>
              <w:pStyle w:val="Akapitzlist"/>
              <w:numPr>
                <w:ilvl w:val="0"/>
                <w:numId w:val="46"/>
              </w:numPr>
              <w:ind w:right="201"/>
              <w:rPr>
                <w:sz w:val="20"/>
                <w:szCs w:val="20"/>
              </w:rPr>
            </w:pPr>
            <w:r w:rsidRPr="00FE0257">
              <w:rPr>
                <w:sz w:val="20"/>
                <w:szCs w:val="20"/>
              </w:rPr>
              <w:t>Nasadzenie zieleni</w:t>
            </w:r>
            <w:r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Działki </w:t>
            </w:r>
            <w:proofErr w:type="spellStart"/>
            <w:r>
              <w:rPr>
                <w:rFonts w:ascii="Times New Roman" w:eastAsiaTheme="minorHAnsi" w:hAnsi="Times New Roman" w:cs="Times New Roman"/>
                <w:sz w:val="20"/>
                <w:szCs w:val="20"/>
              </w:rPr>
              <w:t>ewid</w:t>
            </w:r>
            <w:proofErr w:type="spellEnd"/>
            <w:r>
              <w:rPr>
                <w:rFonts w:ascii="Times New Roman" w:eastAsiaTheme="minorHAnsi" w:hAnsi="Times New Roman" w:cs="Times New Roman"/>
                <w:sz w:val="20"/>
                <w:szCs w:val="20"/>
              </w:rPr>
              <w:t>.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77777777" w:rsidR="00B733A1" w:rsidRPr="00AA72B4" w:rsidRDefault="00B733A1" w:rsidP="003601CB">
            <w:pPr>
              <w:ind w:left="104" w:right="230"/>
              <w:jc w:val="both"/>
              <w:rPr>
                <w:sz w:val="20"/>
                <w:szCs w:val="20"/>
              </w:rPr>
            </w:pPr>
            <w:r w:rsidRPr="00AA72B4">
              <w:rPr>
                <w:sz w:val="20"/>
                <w:szCs w:val="20"/>
              </w:rPr>
              <w:t xml:space="preserve">Lokal mieszkalny oznaczony numerem </w:t>
            </w:r>
            <w:r>
              <w:rPr>
                <w:b/>
                <w:sz w:val="20"/>
                <w:szCs w:val="20"/>
              </w:rPr>
              <w:t>…</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3601CB">
        <w:trPr>
          <w:trHeight w:val="9092"/>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77777777" w:rsidR="00B733A1" w:rsidRPr="00AA72B4" w:rsidRDefault="00B733A1" w:rsidP="003601CB">
            <w:pPr>
              <w:spacing w:after="120"/>
              <w:ind w:left="104" w:right="200"/>
              <w:jc w:val="both"/>
              <w:rPr>
                <w:sz w:val="20"/>
                <w:szCs w:val="20"/>
              </w:rPr>
            </w:pPr>
            <w:r w:rsidRPr="00AA72B4">
              <w:rPr>
                <w:bCs/>
                <w:sz w:val="20"/>
                <w:szCs w:val="20"/>
              </w:rPr>
              <w:t xml:space="preserve">Lokal mieszkalny nr </w:t>
            </w:r>
            <w:r>
              <w:rPr>
                <w:b/>
                <w:bCs/>
                <w:sz w:val="20"/>
                <w:szCs w:val="20"/>
              </w:rPr>
              <w:t>….</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Pr>
                <w:b/>
                <w:bCs/>
                <w:sz w:val="20"/>
                <w:szCs w:val="20"/>
              </w:rPr>
              <w:t>…</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Pr>
                <w:b/>
                <w:bCs/>
                <w:sz w:val="20"/>
                <w:szCs w:val="20"/>
              </w:rPr>
              <w:t>…..</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77777777" w:rsidR="00B733A1" w:rsidRPr="00A048A9"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w:t>
            </w:r>
            <w:r>
              <w:rPr>
                <w:i/>
                <w:sz w:val="20"/>
                <w:szCs w:val="20"/>
              </w:rPr>
              <w:t>m2;</w:t>
            </w:r>
          </w:p>
          <w:p w14:paraId="3A70BC9A"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12002DF3" w14:textId="77777777" w:rsidR="00B733A1" w:rsidRPr="001C21AD"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BEF7A20"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1D2CF5F8"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w:t>
            </w:r>
            <w:r w:rsidRPr="001C21AD">
              <w:rPr>
                <w:i/>
                <w:sz w:val="20"/>
                <w:szCs w:val="20"/>
              </w:rPr>
              <w:t xml:space="preserve">o powierzchni </w:t>
            </w:r>
            <w:r>
              <w:rPr>
                <w:i/>
                <w:sz w:val="20"/>
                <w:szCs w:val="20"/>
              </w:rPr>
              <w:t>…………</w:t>
            </w:r>
            <w:r w:rsidRPr="00A048A9">
              <w:rPr>
                <w:i/>
                <w:sz w:val="20"/>
                <w:szCs w:val="20"/>
              </w:rPr>
              <w:t xml:space="preserve"> </w:t>
            </w:r>
            <w:r w:rsidRPr="001C21AD">
              <w:rPr>
                <w:i/>
                <w:sz w:val="20"/>
                <w:szCs w:val="20"/>
              </w:rPr>
              <w:t>m2</w:t>
            </w:r>
            <w:r>
              <w:rPr>
                <w:i/>
                <w:sz w:val="20"/>
                <w:szCs w:val="20"/>
              </w:rPr>
              <w:t>;</w:t>
            </w:r>
          </w:p>
          <w:p w14:paraId="60E4E47D" w14:textId="77777777" w:rsidR="00B733A1" w:rsidRPr="001C21AD"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w:t>
            </w:r>
            <w:r w:rsidRPr="001C21AD">
              <w:rPr>
                <w:i/>
                <w:sz w:val="20"/>
                <w:szCs w:val="20"/>
              </w:rPr>
              <w:t xml:space="preserve">o powierzchni </w:t>
            </w:r>
            <w:r>
              <w:rPr>
                <w:i/>
                <w:sz w:val="20"/>
                <w:szCs w:val="20"/>
              </w:rPr>
              <w:t>…………</w:t>
            </w:r>
            <w:r w:rsidRPr="00A048A9">
              <w:rPr>
                <w:i/>
                <w:sz w:val="20"/>
                <w:szCs w:val="20"/>
              </w:rPr>
              <w:t xml:space="preserve"> </w:t>
            </w:r>
            <w:r w:rsidRPr="001C21AD">
              <w:rPr>
                <w:i/>
                <w:sz w:val="20"/>
                <w:szCs w:val="20"/>
              </w:rPr>
              <w:t>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79D380C"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557BDFC7"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0C44B0B5"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423BDA4F"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0D32D847" w14:textId="77777777" w:rsidR="00B733A1"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729FCB85" w14:textId="77777777" w:rsidR="00B733A1" w:rsidRPr="00EA7E77" w:rsidRDefault="00B733A1" w:rsidP="003601C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77777777" w:rsidR="00B733A1" w:rsidRPr="00AA72B4" w:rsidRDefault="00B733A1" w:rsidP="003601CB">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Pr>
                <w:b/>
                <w:bCs/>
                <w:sz w:val="20"/>
                <w:szCs w:val="20"/>
              </w:rPr>
              <w:t>…</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Pr>
                <w:b/>
                <w:bCs/>
                <w:sz w:val="20"/>
                <w:szCs w:val="20"/>
              </w:rPr>
              <w:t>…</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77777777"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Pr>
                <w:b/>
                <w:bCs/>
                <w:sz w:val="20"/>
                <w:szCs w:val="20"/>
              </w:rPr>
              <w:t>…</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Pr>
                <w:b/>
                <w:bCs/>
                <w:sz w:val="20"/>
                <w:szCs w:val="20"/>
              </w:rPr>
              <w:t>…</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77777777" w:rsidR="00B733A1" w:rsidRPr="00AA72B4" w:rsidRDefault="00B733A1" w:rsidP="003601CB">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Pr>
                <w:b/>
                <w:bCs/>
                <w:sz w:val="20"/>
                <w:szCs w:val="20"/>
              </w:rPr>
              <w:t>….</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lastRenderedPageBreak/>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t xml:space="preserve">Termin, do którego nastąpi </w:t>
            </w:r>
            <w:proofErr w:type="spellStart"/>
            <w:r w:rsidRPr="00AA72B4">
              <w:rPr>
                <w:sz w:val="20"/>
              </w:rPr>
              <w:t>przenie</w:t>
            </w:r>
            <w:proofErr w:type="spellEnd"/>
            <w:r w:rsidRPr="00AA72B4">
              <w:rPr>
                <w:sz w:val="20"/>
              </w:rPr>
              <w:t>-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BBB43" w14:textId="77777777" w:rsidR="00373707" w:rsidRDefault="00373707" w:rsidP="00AE58CD">
      <w:r>
        <w:separator/>
      </w:r>
    </w:p>
  </w:endnote>
  <w:endnote w:type="continuationSeparator" w:id="0">
    <w:p w14:paraId="14602CF7" w14:textId="77777777" w:rsidR="00373707" w:rsidRDefault="00373707"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1F369C">
              <w:rPr>
                <w:b/>
                <w:bCs/>
                <w:noProof/>
                <w:sz w:val="20"/>
                <w:szCs w:val="20"/>
              </w:rPr>
              <w:t>21</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1F369C">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1F369C">
              <w:rPr>
                <w:b/>
                <w:bCs/>
                <w:noProof/>
                <w:sz w:val="20"/>
                <w:szCs w:val="20"/>
              </w:rPr>
              <w:t>33</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1F369C">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E93B1" w14:textId="77777777" w:rsidR="00373707" w:rsidRDefault="00373707" w:rsidP="00AE58CD">
      <w:r>
        <w:separator/>
      </w:r>
    </w:p>
  </w:footnote>
  <w:footnote w:type="continuationSeparator" w:id="0">
    <w:p w14:paraId="14521A1F" w14:textId="77777777" w:rsidR="00373707" w:rsidRDefault="00373707"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011BD2C5" w:rsidR="00B733A1" w:rsidRPr="00B733A1" w:rsidRDefault="00B733A1" w:rsidP="00B733A1">
    <w:pPr>
      <w:pStyle w:val="Nagwek"/>
      <w:jc w:val="center"/>
      <w:rPr>
        <w:i/>
        <w:color w:val="7030A0"/>
      </w:rPr>
    </w:pPr>
    <w:r w:rsidRPr="00B733A1">
      <w:rPr>
        <w:i/>
        <w:color w:val="7030A0"/>
      </w:rPr>
      <w:t>OSIEDLE   SZLACHECKIE   VI    -     PROJEKT ROBOCZY</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77777777" w:rsidR="00B733A1" w:rsidRPr="00B733A1" w:rsidRDefault="00B733A1" w:rsidP="00B733A1">
    <w:pPr>
      <w:pStyle w:val="Nagwek"/>
      <w:jc w:val="center"/>
      <w:rPr>
        <w:i/>
        <w:color w:val="7030A0"/>
      </w:rPr>
    </w:pPr>
    <w:r w:rsidRPr="00B733A1">
      <w:rPr>
        <w:i/>
        <w:color w:val="7030A0"/>
      </w:rPr>
      <w:t>OSIEDLE   SZLACHECKIE   VI    -     PROJEKT ROBOCZY</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6000"/>
    <w:rsid w:val="00436441"/>
    <w:rsid w:val="00437DC1"/>
    <w:rsid w:val="00440554"/>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12E18"/>
    <w:rsid w:val="0061362C"/>
    <w:rsid w:val="00616B86"/>
    <w:rsid w:val="0062006F"/>
    <w:rsid w:val="00624FDB"/>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2773-D40F-4F51-8C4C-81387FE2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33</Pages>
  <Words>10814</Words>
  <Characters>64886</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22</cp:revision>
  <dcterms:created xsi:type="dcterms:W3CDTF">2026-04-07T16:03:00Z</dcterms:created>
  <dcterms:modified xsi:type="dcterms:W3CDTF">2026-05-25T09:30:00Z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